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CE4B" w14:textId="15F271C8" w:rsidR="00047C34" w:rsidRPr="009B4432" w:rsidRDefault="00BF7F37">
      <w:pPr>
        <w:rPr>
          <w:b/>
          <w:bCs/>
          <w:sz w:val="28"/>
          <w:szCs w:val="28"/>
        </w:rPr>
      </w:pPr>
      <w:bookmarkStart w:id="0" w:name="_GoBack"/>
      <w:bookmarkEnd w:id="0"/>
      <w:r>
        <w:rPr>
          <w:b/>
          <w:bCs/>
          <w:sz w:val="28"/>
          <w:szCs w:val="28"/>
        </w:rPr>
        <w:t>Covid-19: Digital</w:t>
      </w:r>
      <w:r w:rsidR="009B4432" w:rsidRPr="009B4432">
        <w:rPr>
          <w:b/>
          <w:bCs/>
          <w:sz w:val="28"/>
          <w:szCs w:val="28"/>
        </w:rPr>
        <w:t xml:space="preserve"> and Socially Distanced Engagement Guide</w:t>
      </w:r>
    </w:p>
    <w:p w14:paraId="5E3EC39A" w14:textId="2050EF36" w:rsidR="009B4432" w:rsidRDefault="002C23BC">
      <w:pPr>
        <w:rPr>
          <w:b/>
          <w:bCs/>
          <w:sz w:val="28"/>
          <w:szCs w:val="28"/>
        </w:rPr>
      </w:pPr>
      <w:r>
        <w:rPr>
          <w:b/>
          <w:bCs/>
          <w:sz w:val="28"/>
          <w:szCs w:val="28"/>
        </w:rPr>
        <w:t>July</w:t>
      </w:r>
      <w:r w:rsidR="009B4432" w:rsidRPr="009B4432">
        <w:rPr>
          <w:b/>
          <w:bCs/>
          <w:sz w:val="28"/>
          <w:szCs w:val="28"/>
        </w:rPr>
        <w:t xml:space="preserve"> 2020</w:t>
      </w:r>
      <w:r w:rsidR="00627C6A">
        <w:rPr>
          <w:b/>
          <w:bCs/>
          <w:sz w:val="28"/>
          <w:szCs w:val="28"/>
        </w:rPr>
        <w:t xml:space="preserve"> v2</w:t>
      </w:r>
    </w:p>
    <w:p w14:paraId="78C4E745" w14:textId="12EF01ED" w:rsidR="009B4432" w:rsidRPr="00016F17" w:rsidRDefault="009B4432">
      <w:pPr>
        <w:rPr>
          <w:b/>
          <w:sz w:val="24"/>
        </w:rPr>
      </w:pPr>
      <w:r w:rsidRPr="00016F17">
        <w:rPr>
          <w:b/>
          <w:sz w:val="24"/>
        </w:rPr>
        <w:t>Introduction</w:t>
      </w:r>
    </w:p>
    <w:p w14:paraId="0159A81B" w14:textId="06A27C9D" w:rsidR="00712090" w:rsidRDefault="009B4432">
      <w:r>
        <w:t>The Coronavirus pandemic in 2020 has had a huge impact upon people’s lives and the ‘normal’ ways in which</w:t>
      </w:r>
      <w:r w:rsidR="00BD757C">
        <w:t xml:space="preserve"> people live their lives</w:t>
      </w:r>
      <w:r w:rsidR="00712090">
        <w:t xml:space="preserve">. One of the many ways in which we have been forced to change our approach to research has been how to think about engagement with </w:t>
      </w:r>
      <w:r w:rsidR="00BD757C">
        <w:t>publics, communities and collaborative partners</w:t>
      </w:r>
      <w:r w:rsidR="00712090">
        <w:t>. Currently researchers are</w:t>
      </w:r>
      <w:r w:rsidR="00BD757C">
        <w:t xml:space="preserve"> only</w:t>
      </w:r>
      <w:r w:rsidR="00712090">
        <w:t xml:space="preserve"> allowed to en</w:t>
      </w:r>
      <w:r w:rsidR="00BD757C">
        <w:t xml:space="preserve">gage with publics face-to-face if </w:t>
      </w:r>
      <w:r w:rsidR="00712090">
        <w:t xml:space="preserve">they follow the </w:t>
      </w:r>
      <w:hyperlink r:id="rId7" w:history="1">
        <w:r w:rsidR="00712090" w:rsidRPr="00BD757C">
          <w:rPr>
            <w:rStyle w:val="Hyperlink"/>
          </w:rPr>
          <w:t>social distancing guidance</w:t>
        </w:r>
      </w:hyperlink>
      <w:r w:rsidR="00712090">
        <w:t xml:space="preserve"> set out by the government.</w:t>
      </w:r>
    </w:p>
    <w:p w14:paraId="7629AD39" w14:textId="28CC2772" w:rsidR="009B4432" w:rsidRDefault="00712090">
      <w:r>
        <w:t xml:space="preserve">This guide aims to signpost and highlight alternative engagement methods that may be alternatives to in person engagement with research. The list is not exhaustive, so if you have any suggestions please email them to </w:t>
      </w:r>
      <w:hyperlink r:id="rId8" w:history="1">
        <w:r w:rsidRPr="00FE24AA">
          <w:rPr>
            <w:rStyle w:val="Hyperlink"/>
          </w:rPr>
          <w:t>PER@exeter.ac.uk</w:t>
        </w:r>
      </w:hyperlink>
      <w:r w:rsidR="00390264">
        <w:t xml:space="preserve"> and we can update the guide.</w:t>
      </w:r>
      <w:r>
        <w:t xml:space="preserve">  </w:t>
      </w:r>
    </w:p>
    <w:p w14:paraId="7488BEE8" w14:textId="77777777" w:rsidR="0058088C" w:rsidRDefault="0058088C"/>
    <w:tbl>
      <w:tblPr>
        <w:tblStyle w:val="TableGrid"/>
        <w:tblW w:w="0" w:type="auto"/>
        <w:tblLayout w:type="fixed"/>
        <w:tblLook w:val="04A0" w:firstRow="1" w:lastRow="0" w:firstColumn="1" w:lastColumn="0" w:noHBand="0" w:noVBand="1"/>
      </w:tblPr>
      <w:tblGrid>
        <w:gridCol w:w="1693"/>
        <w:gridCol w:w="5106"/>
        <w:gridCol w:w="5468"/>
        <w:gridCol w:w="1681"/>
      </w:tblGrid>
      <w:tr w:rsidR="0058088C" w14:paraId="064BD29F" w14:textId="77777777" w:rsidTr="0058088C">
        <w:tc>
          <w:tcPr>
            <w:tcW w:w="13948" w:type="dxa"/>
            <w:gridSpan w:val="4"/>
            <w:shd w:val="clear" w:color="auto" w:fill="E7E6E6" w:themeFill="background2"/>
          </w:tcPr>
          <w:p w14:paraId="4AC1C267" w14:textId="68C3BD33" w:rsidR="0058088C" w:rsidRPr="0058088C" w:rsidRDefault="0058088C">
            <w:pPr>
              <w:rPr>
                <w:b/>
                <w:sz w:val="28"/>
              </w:rPr>
            </w:pPr>
            <w:r w:rsidRPr="0058088C">
              <w:rPr>
                <w:b/>
                <w:sz w:val="28"/>
              </w:rPr>
              <w:t>Blogs</w:t>
            </w:r>
          </w:p>
        </w:tc>
      </w:tr>
      <w:tr w:rsidR="0058088C" w14:paraId="47A6A4CC" w14:textId="77777777" w:rsidTr="0058088C">
        <w:tc>
          <w:tcPr>
            <w:tcW w:w="1693" w:type="dxa"/>
          </w:tcPr>
          <w:p w14:paraId="25DBD223" w14:textId="094BA40E" w:rsidR="0058088C" w:rsidRDefault="005E78D8" w:rsidP="0058088C">
            <w:r>
              <w:rPr>
                <w:b/>
                <w:sz w:val="24"/>
              </w:rPr>
              <w:t>Title</w:t>
            </w:r>
          </w:p>
        </w:tc>
        <w:tc>
          <w:tcPr>
            <w:tcW w:w="5106" w:type="dxa"/>
          </w:tcPr>
          <w:p w14:paraId="7D196147" w14:textId="25A6862A" w:rsidR="0058088C" w:rsidRDefault="0058088C" w:rsidP="0058088C">
            <w:r w:rsidRPr="00016F17">
              <w:rPr>
                <w:b/>
                <w:sz w:val="24"/>
              </w:rPr>
              <w:t>Description</w:t>
            </w:r>
          </w:p>
        </w:tc>
        <w:tc>
          <w:tcPr>
            <w:tcW w:w="5468" w:type="dxa"/>
          </w:tcPr>
          <w:p w14:paraId="51B5D575" w14:textId="0075C34B" w:rsidR="0058088C" w:rsidRDefault="0058088C" w:rsidP="0058088C">
            <w:r w:rsidRPr="00016F17">
              <w:rPr>
                <w:b/>
                <w:sz w:val="24"/>
              </w:rPr>
              <w:t>Link</w:t>
            </w:r>
          </w:p>
        </w:tc>
        <w:tc>
          <w:tcPr>
            <w:tcW w:w="1681" w:type="dxa"/>
          </w:tcPr>
          <w:p w14:paraId="47CABC4D" w14:textId="40D1B30B" w:rsidR="0058088C" w:rsidRDefault="0058088C" w:rsidP="0058088C">
            <w:r>
              <w:rPr>
                <w:b/>
                <w:sz w:val="24"/>
              </w:rPr>
              <w:t>Tags</w:t>
            </w:r>
          </w:p>
        </w:tc>
      </w:tr>
      <w:tr w:rsidR="0058088C" w14:paraId="58710D52" w14:textId="77777777" w:rsidTr="0058088C">
        <w:tc>
          <w:tcPr>
            <w:tcW w:w="1693" w:type="dxa"/>
          </w:tcPr>
          <w:p w14:paraId="5F0D033E" w14:textId="33DB76EA" w:rsidR="0058088C" w:rsidRDefault="0058088C" w:rsidP="0058088C">
            <w:r w:rsidRPr="00437C98">
              <w:t>Hyperlocal engagement during the time of lockdown</w:t>
            </w:r>
          </w:p>
        </w:tc>
        <w:tc>
          <w:tcPr>
            <w:tcW w:w="5106" w:type="dxa"/>
          </w:tcPr>
          <w:p w14:paraId="056DC0E9" w14:textId="77777777" w:rsidR="0058088C" w:rsidRDefault="0058088C" w:rsidP="0058088C">
            <w:r w:rsidRPr="00A366EE">
              <w:t>What does public engagement look like during a time of lockdown and social distancing? Does it all have to take place online</w:t>
            </w:r>
            <w:r>
              <w:t xml:space="preserve">? </w:t>
            </w:r>
            <w:r w:rsidRPr="00A366EE">
              <w:t>David Owen reflects on how public engagement is being re-imagined and invites you to share your ideas.</w:t>
            </w:r>
          </w:p>
          <w:p w14:paraId="11425943" w14:textId="77777777" w:rsidR="0058088C" w:rsidRDefault="0058088C" w:rsidP="0058088C"/>
        </w:tc>
        <w:tc>
          <w:tcPr>
            <w:tcW w:w="5468" w:type="dxa"/>
          </w:tcPr>
          <w:p w14:paraId="39671CDB" w14:textId="5E8E4C36" w:rsidR="0058088C" w:rsidRDefault="00F50BC1" w:rsidP="0058088C">
            <w:hyperlink r:id="rId9" w:history="1">
              <w:r w:rsidR="0058088C">
                <w:rPr>
                  <w:rStyle w:val="Hyperlink"/>
                </w:rPr>
                <w:t>https://www.publicengagement.ac.uk/whats-new/blog/hyperlocal-engagement-during-time-lockdown</w:t>
              </w:r>
            </w:hyperlink>
          </w:p>
        </w:tc>
        <w:tc>
          <w:tcPr>
            <w:tcW w:w="1681" w:type="dxa"/>
          </w:tcPr>
          <w:p w14:paraId="43CADC45" w14:textId="140E9BD8" w:rsidR="0058088C" w:rsidRDefault="0058088C" w:rsidP="0058088C">
            <w:r>
              <w:t>S</w:t>
            </w:r>
            <w:r w:rsidRPr="00CE2929">
              <w:t>ocially distanced engagement</w:t>
            </w:r>
          </w:p>
        </w:tc>
      </w:tr>
      <w:tr w:rsidR="0058088C" w14:paraId="09E7BB53" w14:textId="77777777" w:rsidTr="0058088C">
        <w:tc>
          <w:tcPr>
            <w:tcW w:w="1693" w:type="dxa"/>
          </w:tcPr>
          <w:p w14:paraId="0418DCDB" w14:textId="0F7D7A59" w:rsidR="0058088C" w:rsidRDefault="0058088C" w:rsidP="0058088C">
            <w:r w:rsidRPr="00237242">
              <w:t>Communicating research during Covid-19</w:t>
            </w:r>
          </w:p>
        </w:tc>
        <w:tc>
          <w:tcPr>
            <w:tcW w:w="5106" w:type="dxa"/>
          </w:tcPr>
          <w:p w14:paraId="5BCB69BE" w14:textId="77777777" w:rsidR="0058088C" w:rsidRDefault="0058088C" w:rsidP="0058088C">
            <w:r w:rsidRPr="00237242">
              <w:t>Paul Manners</w:t>
            </w:r>
            <w:r>
              <w:t xml:space="preserve"> (Director, National Coordinating Centre for Public Engagement)</w:t>
            </w:r>
            <w:r w:rsidRPr="00237242">
              <w:t xml:space="preserve"> breaks down best practice in engaging the public with research during the pandemic.</w:t>
            </w:r>
          </w:p>
          <w:p w14:paraId="48DD7DC6" w14:textId="77777777" w:rsidR="0058088C" w:rsidRDefault="0058088C" w:rsidP="0058088C"/>
        </w:tc>
        <w:tc>
          <w:tcPr>
            <w:tcW w:w="5468" w:type="dxa"/>
          </w:tcPr>
          <w:p w14:paraId="742EE1F4" w14:textId="25A48DD2" w:rsidR="0058088C" w:rsidRDefault="00F50BC1" w:rsidP="0058088C">
            <w:hyperlink r:id="rId10" w:history="1">
              <w:r w:rsidR="0058088C">
                <w:rPr>
                  <w:rStyle w:val="Hyperlink"/>
                </w:rPr>
                <w:t>https://wonkhe.com/blogs/communicating-research-during-covid-19/</w:t>
              </w:r>
            </w:hyperlink>
          </w:p>
        </w:tc>
        <w:tc>
          <w:tcPr>
            <w:tcW w:w="1681" w:type="dxa"/>
          </w:tcPr>
          <w:p w14:paraId="459F435A" w14:textId="34E16511" w:rsidR="0058088C" w:rsidRDefault="0058088C" w:rsidP="0058088C">
            <w:r>
              <w:t>Research communication</w:t>
            </w:r>
          </w:p>
        </w:tc>
      </w:tr>
      <w:tr w:rsidR="0058088C" w14:paraId="71E64F9E" w14:textId="77777777" w:rsidTr="0058088C">
        <w:tc>
          <w:tcPr>
            <w:tcW w:w="1693" w:type="dxa"/>
          </w:tcPr>
          <w:p w14:paraId="1A0A1AA6" w14:textId="45EF045C" w:rsidR="0058088C" w:rsidRDefault="0058088C" w:rsidP="0058088C">
            <w:r w:rsidRPr="00F60C49">
              <w:t>CPExplores: Should we be taking our engagement projects online?</w:t>
            </w:r>
            <w:r>
              <w:t xml:space="preserve"> </w:t>
            </w:r>
          </w:p>
        </w:tc>
        <w:tc>
          <w:tcPr>
            <w:tcW w:w="5106" w:type="dxa"/>
          </w:tcPr>
          <w:p w14:paraId="10AD0E53" w14:textId="7D870653" w:rsidR="0058088C" w:rsidRDefault="0058088C" w:rsidP="0058088C">
            <w:r>
              <w:t xml:space="preserve">QMUL’s </w:t>
            </w:r>
            <w:r w:rsidRPr="00F60C49">
              <w:t xml:space="preserve">Centre for Public Engagement </w:t>
            </w:r>
            <w:r>
              <w:t xml:space="preserve">sets out to </w:t>
            </w:r>
            <w:r w:rsidRPr="00F60C49">
              <w:t xml:space="preserve">answer some of </w:t>
            </w:r>
            <w:r>
              <w:t>the</w:t>
            </w:r>
            <w:r w:rsidRPr="00F60C49">
              <w:t xml:space="preserve"> most pressing engagement questions</w:t>
            </w:r>
            <w:r>
              <w:t xml:space="preserve"> in relation to COVID-19 and engagement</w:t>
            </w:r>
            <w:r w:rsidRPr="00F60C49">
              <w:t>.</w:t>
            </w:r>
          </w:p>
        </w:tc>
        <w:tc>
          <w:tcPr>
            <w:tcW w:w="5468" w:type="dxa"/>
          </w:tcPr>
          <w:p w14:paraId="5A0B4C95" w14:textId="400A943D" w:rsidR="0058088C" w:rsidRDefault="00F50BC1" w:rsidP="0058088C">
            <w:hyperlink r:id="rId11" w:history="1">
              <w:r w:rsidR="0058088C">
                <w:rPr>
                  <w:rStyle w:val="Hyperlink"/>
                </w:rPr>
                <w:t>https://www.qmul.ac.uk/publicengagement/blog/2020-blog-posts/items/cpexplores-should-we-be-taking-our-engagement-projects-online.html</w:t>
              </w:r>
            </w:hyperlink>
          </w:p>
        </w:tc>
        <w:tc>
          <w:tcPr>
            <w:tcW w:w="1681" w:type="dxa"/>
          </w:tcPr>
          <w:p w14:paraId="70E5CC30" w14:textId="77777777" w:rsidR="0058088C" w:rsidRDefault="0058088C" w:rsidP="0058088C">
            <w:r>
              <w:t>Digital engagement</w:t>
            </w:r>
          </w:p>
          <w:p w14:paraId="3AD73A16" w14:textId="77777777" w:rsidR="0058088C" w:rsidRDefault="0058088C" w:rsidP="0058088C"/>
          <w:p w14:paraId="7E85E670" w14:textId="6DDC2027" w:rsidR="0058088C" w:rsidRDefault="0058088C" w:rsidP="0058088C">
            <w:r>
              <w:t xml:space="preserve">Adapting existing </w:t>
            </w:r>
            <w:r w:rsidRPr="000109A9">
              <w:t>PE</w:t>
            </w:r>
          </w:p>
        </w:tc>
      </w:tr>
      <w:tr w:rsidR="0058088C" w14:paraId="11B594C3" w14:textId="77777777" w:rsidTr="0058088C">
        <w:tc>
          <w:tcPr>
            <w:tcW w:w="1693" w:type="dxa"/>
          </w:tcPr>
          <w:p w14:paraId="7365085B" w14:textId="77777777" w:rsidR="0058088C" w:rsidRDefault="0058088C" w:rsidP="0058088C">
            <w:r w:rsidRPr="00A366EE">
              <w:t>Learning from our virtual co-creation: accessibility and adaptability</w:t>
            </w:r>
          </w:p>
          <w:p w14:paraId="7B601B3D" w14:textId="7E18B854" w:rsidR="00552C81" w:rsidRPr="00F60C49" w:rsidRDefault="00552C81" w:rsidP="0058088C"/>
        </w:tc>
        <w:tc>
          <w:tcPr>
            <w:tcW w:w="5106" w:type="dxa"/>
          </w:tcPr>
          <w:p w14:paraId="3101E9EC" w14:textId="15647743" w:rsidR="0058088C" w:rsidRDefault="0058088C" w:rsidP="0058088C">
            <w:r>
              <w:t xml:space="preserve">Members of the Centre for Co-Production </w:t>
            </w:r>
            <w:r w:rsidRPr="00A366EE">
              <w:t>explore the importance of accessibility and adaptability.</w:t>
            </w:r>
          </w:p>
        </w:tc>
        <w:tc>
          <w:tcPr>
            <w:tcW w:w="5468" w:type="dxa"/>
          </w:tcPr>
          <w:p w14:paraId="3177D8D4" w14:textId="4A400BD9" w:rsidR="0058088C" w:rsidRDefault="00F50BC1" w:rsidP="0058088C">
            <w:pPr>
              <w:rPr>
                <w:rStyle w:val="Hyperlink"/>
              </w:rPr>
            </w:pPr>
            <w:hyperlink r:id="rId12" w:history="1">
              <w:r w:rsidR="0058088C">
                <w:rPr>
                  <w:rStyle w:val="Hyperlink"/>
                </w:rPr>
                <w:t>https://blogs.ucl.ac.uk/public-engagement/2020/06/21/learning-from-our-virtual-co-creation-accessibility-and-adaptability/</w:t>
              </w:r>
            </w:hyperlink>
          </w:p>
        </w:tc>
        <w:tc>
          <w:tcPr>
            <w:tcW w:w="1681" w:type="dxa"/>
          </w:tcPr>
          <w:p w14:paraId="16135AC0" w14:textId="77777777" w:rsidR="0058088C" w:rsidRDefault="0058088C" w:rsidP="0058088C">
            <w:r w:rsidRPr="000109A9">
              <w:t>Digital engagement</w:t>
            </w:r>
          </w:p>
          <w:p w14:paraId="7F8D4632" w14:textId="77777777" w:rsidR="0058088C" w:rsidRDefault="0058088C" w:rsidP="0058088C"/>
          <w:p w14:paraId="5DC60B8A" w14:textId="69CAF32F" w:rsidR="0058088C" w:rsidRDefault="0058088C" w:rsidP="0058088C">
            <w:r>
              <w:t xml:space="preserve">Adapting existing </w:t>
            </w:r>
            <w:r w:rsidRPr="000109A9">
              <w:t>PE</w:t>
            </w:r>
          </w:p>
        </w:tc>
      </w:tr>
      <w:tr w:rsidR="0058088C" w14:paraId="1EF1096F" w14:textId="77777777" w:rsidTr="0058088C">
        <w:tc>
          <w:tcPr>
            <w:tcW w:w="1693" w:type="dxa"/>
          </w:tcPr>
          <w:p w14:paraId="234D4741" w14:textId="2003B3FA" w:rsidR="0058088C" w:rsidRPr="00A366EE" w:rsidRDefault="0058088C" w:rsidP="0058088C">
            <w:r w:rsidRPr="00016F17">
              <w:t>Engagement in a time of social distancing</w:t>
            </w:r>
          </w:p>
        </w:tc>
        <w:tc>
          <w:tcPr>
            <w:tcW w:w="5106" w:type="dxa"/>
          </w:tcPr>
          <w:p w14:paraId="1F434970" w14:textId="77777777" w:rsidR="0058088C" w:rsidRDefault="0058088C" w:rsidP="0058088C">
            <w:r w:rsidRPr="00016F17">
              <w:t>What does engagement mean in a time of social distancing?</w:t>
            </w:r>
            <w:r>
              <w:t xml:space="preserve"> This blog creates a list of advice and tips</w:t>
            </w:r>
            <w:r w:rsidRPr="00016F17">
              <w:t xml:space="preserve"> to help </w:t>
            </w:r>
            <w:r>
              <w:t>researchers</w:t>
            </w:r>
            <w:r w:rsidRPr="00016F17">
              <w:t xml:space="preserve"> navigate </w:t>
            </w:r>
            <w:r>
              <w:t>their</w:t>
            </w:r>
            <w:r w:rsidRPr="00016F17">
              <w:t xml:space="preserve"> projects and be the support </w:t>
            </w:r>
            <w:r>
              <w:t>their</w:t>
            </w:r>
            <w:r w:rsidRPr="00016F17">
              <w:t xml:space="preserve"> partners need.</w:t>
            </w:r>
          </w:p>
          <w:p w14:paraId="66B3514B" w14:textId="491C50B1" w:rsidR="00552C81" w:rsidRDefault="00552C81" w:rsidP="0058088C"/>
        </w:tc>
        <w:tc>
          <w:tcPr>
            <w:tcW w:w="5468" w:type="dxa"/>
          </w:tcPr>
          <w:p w14:paraId="08428B6F" w14:textId="5E506C18" w:rsidR="0058088C" w:rsidRDefault="00F50BC1" w:rsidP="0058088C">
            <w:pPr>
              <w:rPr>
                <w:rStyle w:val="Hyperlink"/>
              </w:rPr>
            </w:pPr>
            <w:hyperlink r:id="rId13" w:history="1">
              <w:r w:rsidR="0058088C">
                <w:rPr>
                  <w:rStyle w:val="Hyperlink"/>
                </w:rPr>
                <w:t>https://blogs.ucl.ac.uk/public-engagement/2020/03/25/distanced-engagement/</w:t>
              </w:r>
            </w:hyperlink>
          </w:p>
        </w:tc>
        <w:tc>
          <w:tcPr>
            <w:tcW w:w="1681" w:type="dxa"/>
          </w:tcPr>
          <w:p w14:paraId="7BEBC4FD" w14:textId="4E4FADBC" w:rsidR="0058088C" w:rsidRPr="000109A9" w:rsidRDefault="0058088C" w:rsidP="0058088C">
            <w:r>
              <w:t xml:space="preserve">Adapting existing </w:t>
            </w:r>
            <w:r w:rsidRPr="000109A9">
              <w:t>PE</w:t>
            </w:r>
          </w:p>
        </w:tc>
      </w:tr>
      <w:tr w:rsidR="008D02E1" w14:paraId="3AB71E07" w14:textId="77777777" w:rsidTr="0058088C">
        <w:tc>
          <w:tcPr>
            <w:tcW w:w="1693" w:type="dxa"/>
          </w:tcPr>
          <w:p w14:paraId="3814565E" w14:textId="26D54759" w:rsidR="008D02E1" w:rsidRDefault="008D02E1" w:rsidP="008D02E1">
            <w:r>
              <w:t>Digital Tools for Participation: Where to Start?</w:t>
            </w:r>
          </w:p>
          <w:p w14:paraId="58344D9B" w14:textId="20A01362" w:rsidR="008D02E1" w:rsidRPr="00016F17" w:rsidRDefault="008D02E1" w:rsidP="008D02E1"/>
        </w:tc>
        <w:tc>
          <w:tcPr>
            <w:tcW w:w="5106" w:type="dxa"/>
          </w:tcPr>
          <w:p w14:paraId="7F421DB9" w14:textId="77777777" w:rsidR="008D02E1" w:rsidRDefault="008D02E1" w:rsidP="008D02E1">
            <w:r w:rsidRPr="008D02E1">
              <w:t>This blog post aims to give you a few pointers to help get you started. It’s based on a combination of our own experience, discussion with other practitioners and knowledge of good engagement principles and practice.</w:t>
            </w:r>
          </w:p>
          <w:p w14:paraId="6992250C" w14:textId="77777777" w:rsidR="008D02E1" w:rsidRPr="00016F17" w:rsidRDefault="008D02E1" w:rsidP="008D02E1"/>
        </w:tc>
        <w:tc>
          <w:tcPr>
            <w:tcW w:w="5468" w:type="dxa"/>
          </w:tcPr>
          <w:p w14:paraId="267B50A6" w14:textId="77777777" w:rsidR="008D02E1" w:rsidRDefault="00F50BC1" w:rsidP="008D02E1">
            <w:hyperlink r:id="rId14" w:history="1">
              <w:r w:rsidR="008D02E1">
                <w:rPr>
                  <w:rStyle w:val="Hyperlink"/>
                </w:rPr>
                <w:t>https://www.involve.org.uk/resources/blog/opinion/digital-tools-participation-where-start</w:t>
              </w:r>
            </w:hyperlink>
            <w:r w:rsidR="008D02E1">
              <w:t xml:space="preserve"> </w:t>
            </w:r>
          </w:p>
          <w:p w14:paraId="26A43339" w14:textId="77777777" w:rsidR="008D02E1" w:rsidRDefault="008D02E1" w:rsidP="008D02E1">
            <w:pPr>
              <w:rPr>
                <w:rStyle w:val="Hyperlink"/>
              </w:rPr>
            </w:pPr>
          </w:p>
        </w:tc>
        <w:tc>
          <w:tcPr>
            <w:tcW w:w="1681" w:type="dxa"/>
          </w:tcPr>
          <w:p w14:paraId="4FD7C459" w14:textId="77777777" w:rsidR="008D02E1" w:rsidRDefault="008D02E1" w:rsidP="008D02E1">
            <w:r w:rsidRPr="000109A9">
              <w:t>Digital engagement</w:t>
            </w:r>
          </w:p>
          <w:p w14:paraId="044DE0D6" w14:textId="7A799EFD" w:rsidR="008D02E1" w:rsidRDefault="008D02E1" w:rsidP="008D02E1"/>
        </w:tc>
      </w:tr>
      <w:tr w:rsidR="008D02E1" w14:paraId="3B04F22D" w14:textId="77777777" w:rsidTr="0058088C">
        <w:tc>
          <w:tcPr>
            <w:tcW w:w="13948" w:type="dxa"/>
            <w:gridSpan w:val="4"/>
            <w:shd w:val="clear" w:color="auto" w:fill="E7E6E6" w:themeFill="background2"/>
          </w:tcPr>
          <w:p w14:paraId="64CA2BF3" w14:textId="608B41D9" w:rsidR="008D02E1" w:rsidRPr="0058088C" w:rsidRDefault="008D02E1" w:rsidP="008D02E1">
            <w:pPr>
              <w:rPr>
                <w:b/>
                <w:sz w:val="28"/>
              </w:rPr>
            </w:pPr>
            <w:r w:rsidRPr="0058088C">
              <w:rPr>
                <w:b/>
                <w:sz w:val="28"/>
              </w:rPr>
              <w:t>Guides and resources</w:t>
            </w:r>
          </w:p>
        </w:tc>
      </w:tr>
      <w:tr w:rsidR="008D02E1" w14:paraId="3D3CB88B" w14:textId="77777777" w:rsidTr="0058088C">
        <w:tc>
          <w:tcPr>
            <w:tcW w:w="1693" w:type="dxa"/>
          </w:tcPr>
          <w:p w14:paraId="71B67538" w14:textId="20AA185A" w:rsidR="008D02E1" w:rsidRDefault="008D02E1" w:rsidP="008D02E1">
            <w:r>
              <w:rPr>
                <w:b/>
                <w:bCs/>
                <w:sz w:val="24"/>
              </w:rPr>
              <w:t>Title</w:t>
            </w:r>
          </w:p>
        </w:tc>
        <w:tc>
          <w:tcPr>
            <w:tcW w:w="5106" w:type="dxa"/>
          </w:tcPr>
          <w:p w14:paraId="7FBBD68F" w14:textId="01E4A707" w:rsidR="008D02E1" w:rsidRPr="00016F17" w:rsidRDefault="008D02E1" w:rsidP="008D02E1">
            <w:r w:rsidRPr="00016F17">
              <w:rPr>
                <w:b/>
                <w:bCs/>
                <w:sz w:val="24"/>
              </w:rPr>
              <w:t>Description</w:t>
            </w:r>
          </w:p>
        </w:tc>
        <w:tc>
          <w:tcPr>
            <w:tcW w:w="5468" w:type="dxa"/>
          </w:tcPr>
          <w:p w14:paraId="64231778" w14:textId="3BE86AF2" w:rsidR="008D02E1" w:rsidRDefault="008D02E1" w:rsidP="008D02E1">
            <w:pPr>
              <w:rPr>
                <w:rStyle w:val="Hyperlink"/>
              </w:rPr>
            </w:pPr>
            <w:r w:rsidRPr="00016F17">
              <w:rPr>
                <w:b/>
                <w:bCs/>
                <w:sz w:val="24"/>
              </w:rPr>
              <w:t>Link</w:t>
            </w:r>
          </w:p>
        </w:tc>
        <w:tc>
          <w:tcPr>
            <w:tcW w:w="1681" w:type="dxa"/>
          </w:tcPr>
          <w:p w14:paraId="3148499C" w14:textId="5E5B909E" w:rsidR="008D02E1" w:rsidRDefault="008D02E1" w:rsidP="008D02E1">
            <w:r>
              <w:rPr>
                <w:b/>
                <w:bCs/>
                <w:sz w:val="24"/>
              </w:rPr>
              <w:t>Tags</w:t>
            </w:r>
          </w:p>
        </w:tc>
      </w:tr>
      <w:tr w:rsidR="008D02E1" w14:paraId="2785576E" w14:textId="77777777" w:rsidTr="0058088C">
        <w:tc>
          <w:tcPr>
            <w:tcW w:w="1693" w:type="dxa"/>
          </w:tcPr>
          <w:p w14:paraId="4C2126FC" w14:textId="00A23DC1" w:rsidR="008D02E1" w:rsidRDefault="008D02E1" w:rsidP="008D02E1">
            <w:r>
              <w:t>University of Exeter Online Engagement Resources</w:t>
            </w:r>
          </w:p>
        </w:tc>
        <w:tc>
          <w:tcPr>
            <w:tcW w:w="5106" w:type="dxa"/>
          </w:tcPr>
          <w:p w14:paraId="6B27D8C5" w14:textId="77777777" w:rsidR="008D02E1" w:rsidRDefault="008D02E1" w:rsidP="008D02E1">
            <w:r>
              <w:t>A note of discussions at a recent UoE webinar that focused on online engagement.</w:t>
            </w:r>
          </w:p>
          <w:p w14:paraId="2EE15DAD" w14:textId="77777777" w:rsidR="008D02E1" w:rsidRPr="00016F17" w:rsidRDefault="008D02E1" w:rsidP="008D02E1"/>
        </w:tc>
        <w:tc>
          <w:tcPr>
            <w:tcW w:w="5468" w:type="dxa"/>
          </w:tcPr>
          <w:p w14:paraId="16D37E4E" w14:textId="72B3FE97" w:rsidR="008D02E1" w:rsidRDefault="00F50BC1" w:rsidP="008D02E1">
            <w:pPr>
              <w:rPr>
                <w:rStyle w:val="Hyperlink"/>
              </w:rPr>
            </w:pPr>
            <w:hyperlink r:id="rId15" w:history="1">
              <w:r w:rsidR="008D02E1">
                <w:rPr>
                  <w:rStyle w:val="Hyperlink"/>
                </w:rPr>
                <w:t>https://docs.google.com/document/d/17XeCN3VWEPb-R9ixlNgWu_vPfYP35btpCUJHkwNb_Pc/edit</w:t>
              </w:r>
            </w:hyperlink>
          </w:p>
        </w:tc>
        <w:tc>
          <w:tcPr>
            <w:tcW w:w="1681" w:type="dxa"/>
          </w:tcPr>
          <w:p w14:paraId="7E3AEA5A" w14:textId="77777777" w:rsidR="008D02E1" w:rsidRDefault="008D02E1" w:rsidP="008D02E1">
            <w:r>
              <w:t xml:space="preserve">Adapting existing </w:t>
            </w:r>
            <w:r w:rsidRPr="000109A9">
              <w:t>PE</w:t>
            </w:r>
          </w:p>
          <w:p w14:paraId="353D7682" w14:textId="77777777" w:rsidR="008D02E1" w:rsidRDefault="008D02E1" w:rsidP="008D02E1"/>
          <w:p w14:paraId="4AA1429D" w14:textId="11F81DCA" w:rsidR="008D02E1" w:rsidRDefault="008D02E1" w:rsidP="008D02E1">
            <w:r>
              <w:t>Digital engagement</w:t>
            </w:r>
          </w:p>
        </w:tc>
      </w:tr>
      <w:tr w:rsidR="008D02E1" w14:paraId="2657B5ED" w14:textId="77777777" w:rsidTr="0058088C">
        <w:tc>
          <w:tcPr>
            <w:tcW w:w="1693" w:type="dxa"/>
          </w:tcPr>
          <w:p w14:paraId="046D90B0" w14:textId="1E001B11" w:rsidR="008D02E1" w:rsidRDefault="008D02E1" w:rsidP="008D02E1">
            <w:r>
              <w:t>Guidance for Online Events</w:t>
            </w:r>
          </w:p>
        </w:tc>
        <w:tc>
          <w:tcPr>
            <w:tcW w:w="5106" w:type="dxa"/>
          </w:tcPr>
          <w:p w14:paraId="051B11CD" w14:textId="77777777" w:rsidR="008D02E1" w:rsidRDefault="008D02E1" w:rsidP="008D02E1">
            <w:r>
              <w:t>University of Exeter Communications Team share their advice on organising virtual events. Includes a risk assessment template, checklist and joining instructions.</w:t>
            </w:r>
          </w:p>
          <w:p w14:paraId="7A546103" w14:textId="77777777" w:rsidR="008D02E1" w:rsidRPr="00016F17" w:rsidRDefault="008D02E1" w:rsidP="008D02E1"/>
        </w:tc>
        <w:tc>
          <w:tcPr>
            <w:tcW w:w="5468" w:type="dxa"/>
          </w:tcPr>
          <w:p w14:paraId="7A86A8E8" w14:textId="77777777" w:rsidR="008D02E1" w:rsidRDefault="00F50BC1" w:rsidP="008D02E1">
            <w:hyperlink r:id="rId16" w:history="1">
              <w:r w:rsidR="008D02E1">
                <w:rPr>
                  <w:rStyle w:val="Hyperlink"/>
                </w:rPr>
                <w:t>http://www.exeter.ac.uk/departments/communication/communications/events/toolkit/online-events/</w:t>
              </w:r>
            </w:hyperlink>
          </w:p>
          <w:p w14:paraId="121AAF52" w14:textId="77777777" w:rsidR="008D02E1" w:rsidRDefault="008D02E1" w:rsidP="008D02E1">
            <w:pPr>
              <w:rPr>
                <w:rStyle w:val="Hyperlink"/>
              </w:rPr>
            </w:pPr>
          </w:p>
        </w:tc>
        <w:tc>
          <w:tcPr>
            <w:tcW w:w="1681" w:type="dxa"/>
          </w:tcPr>
          <w:p w14:paraId="24C4A0C0" w14:textId="1B0AB868" w:rsidR="008D02E1" w:rsidRDefault="008D02E1" w:rsidP="008D02E1">
            <w:r>
              <w:t xml:space="preserve">Digital engagement </w:t>
            </w:r>
          </w:p>
        </w:tc>
      </w:tr>
      <w:tr w:rsidR="008D02E1" w14:paraId="4D968E64" w14:textId="77777777" w:rsidTr="0058088C">
        <w:tc>
          <w:tcPr>
            <w:tcW w:w="1693" w:type="dxa"/>
          </w:tcPr>
          <w:p w14:paraId="653E010D" w14:textId="0C42D1DC" w:rsidR="008D02E1" w:rsidRDefault="008D02E1" w:rsidP="008D02E1">
            <w:r w:rsidRPr="008D02E1">
              <w:t>Knowledge Sharing and Exchange in a Pandemic</w:t>
            </w:r>
          </w:p>
          <w:p w14:paraId="058582FA" w14:textId="3B0FB921" w:rsidR="008D02E1" w:rsidRDefault="008D02E1" w:rsidP="008D02E1"/>
        </w:tc>
        <w:tc>
          <w:tcPr>
            <w:tcW w:w="5106" w:type="dxa"/>
          </w:tcPr>
          <w:p w14:paraId="585F2752" w14:textId="74497C43" w:rsidR="008D02E1" w:rsidRDefault="008D02E1" w:rsidP="008D02E1">
            <w:r w:rsidRPr="008D02E1">
              <w:t>T</w:t>
            </w:r>
            <w:r>
              <w:t xml:space="preserve">he </w:t>
            </w:r>
            <w:r w:rsidRPr="008D02E1">
              <w:t>C</w:t>
            </w:r>
            <w:r>
              <w:t xml:space="preserve">ultural </w:t>
            </w:r>
            <w:r w:rsidRPr="008D02E1">
              <w:t>C</w:t>
            </w:r>
            <w:r>
              <w:t xml:space="preserve">apital </w:t>
            </w:r>
            <w:r w:rsidRPr="008D02E1">
              <w:t>E</w:t>
            </w:r>
            <w:r>
              <w:t>xchange</w:t>
            </w:r>
            <w:r w:rsidRPr="008D02E1">
              <w:t xml:space="preserve"> has developed </w:t>
            </w:r>
            <w:r>
              <w:t>a</w:t>
            </w:r>
            <w:r w:rsidRPr="008D02E1">
              <w:t xml:space="preserve"> crowd-sourced document as a rapid-fire means of creating a space for researchers and for the knowledge exchange community to share stories and examples of good and innovative practices at </w:t>
            </w:r>
            <w:r w:rsidRPr="008D02E1">
              <w:lastRenderedPageBreak/>
              <w:t>this time of unprecedented challenge as a result of Covid-19.</w:t>
            </w:r>
          </w:p>
          <w:p w14:paraId="6DFE6365" w14:textId="66B209EE" w:rsidR="008D02E1" w:rsidRDefault="008D02E1" w:rsidP="008D02E1"/>
        </w:tc>
        <w:tc>
          <w:tcPr>
            <w:tcW w:w="5468" w:type="dxa"/>
          </w:tcPr>
          <w:p w14:paraId="5444E1F1" w14:textId="77777777" w:rsidR="008D02E1" w:rsidRDefault="00F50BC1" w:rsidP="008D02E1">
            <w:hyperlink r:id="rId17" w:history="1">
              <w:r w:rsidR="008D02E1">
                <w:rPr>
                  <w:rStyle w:val="Hyperlink"/>
                </w:rPr>
                <w:t>https://www.theculturecapitalexchange.co.uk/2020/06/02/knowledge-sharing-and-exchange-in-a-pandemic/</w:t>
              </w:r>
            </w:hyperlink>
          </w:p>
          <w:p w14:paraId="53380AD5" w14:textId="33CCD645" w:rsidR="008D02E1" w:rsidRDefault="008D02E1" w:rsidP="008D02E1">
            <w:pPr>
              <w:rPr>
                <w:rStyle w:val="Hyperlink"/>
              </w:rPr>
            </w:pPr>
          </w:p>
        </w:tc>
        <w:tc>
          <w:tcPr>
            <w:tcW w:w="1681" w:type="dxa"/>
          </w:tcPr>
          <w:p w14:paraId="08759528" w14:textId="77777777" w:rsidR="008D02E1" w:rsidRDefault="008D02E1" w:rsidP="008D02E1">
            <w:r>
              <w:t xml:space="preserve">Adapting existing </w:t>
            </w:r>
            <w:r w:rsidRPr="000109A9">
              <w:t>PE</w:t>
            </w:r>
          </w:p>
          <w:p w14:paraId="21E7D64E" w14:textId="77777777" w:rsidR="008D02E1" w:rsidRDefault="008D02E1" w:rsidP="008D02E1"/>
          <w:p w14:paraId="28047202" w14:textId="468C37BB" w:rsidR="008D02E1" w:rsidRDefault="008D02E1" w:rsidP="008D02E1">
            <w:r>
              <w:t>Digital engagement</w:t>
            </w:r>
          </w:p>
        </w:tc>
      </w:tr>
      <w:tr w:rsidR="008D02E1" w14:paraId="07F52ED2" w14:textId="77777777" w:rsidTr="0058088C">
        <w:tc>
          <w:tcPr>
            <w:tcW w:w="1693" w:type="dxa"/>
          </w:tcPr>
          <w:p w14:paraId="61658104" w14:textId="05512575" w:rsidR="008D02E1" w:rsidRDefault="008D02E1" w:rsidP="008D02E1">
            <w:r>
              <w:t>Coronavirus Tech Handbook</w:t>
            </w:r>
          </w:p>
        </w:tc>
        <w:tc>
          <w:tcPr>
            <w:tcW w:w="5106" w:type="dxa"/>
          </w:tcPr>
          <w:p w14:paraId="1516AB69" w14:textId="77777777" w:rsidR="008D02E1" w:rsidRDefault="008D02E1" w:rsidP="008D02E1">
            <w:r>
              <w:t>An open Google Doc with links to research-related resources. Includes sections on collaborations, remote decision making and creative tools.</w:t>
            </w:r>
          </w:p>
          <w:p w14:paraId="0E1359D0" w14:textId="77777777" w:rsidR="008D02E1" w:rsidRPr="00016F17" w:rsidRDefault="008D02E1" w:rsidP="008D02E1"/>
        </w:tc>
        <w:tc>
          <w:tcPr>
            <w:tcW w:w="5468" w:type="dxa"/>
          </w:tcPr>
          <w:p w14:paraId="17692E7F" w14:textId="21BA8D93" w:rsidR="008D02E1" w:rsidRDefault="00F50BC1" w:rsidP="008D02E1">
            <w:pPr>
              <w:rPr>
                <w:rStyle w:val="Hyperlink"/>
              </w:rPr>
            </w:pPr>
            <w:hyperlink r:id="rId18" w:history="1">
              <w:r w:rsidR="008D02E1">
                <w:rPr>
                  <w:rStyle w:val="Hyperlink"/>
                </w:rPr>
                <w:t>https://coronavirustechhandbook.com/</w:t>
              </w:r>
            </w:hyperlink>
          </w:p>
        </w:tc>
        <w:tc>
          <w:tcPr>
            <w:tcW w:w="1681" w:type="dxa"/>
          </w:tcPr>
          <w:p w14:paraId="39297EE0" w14:textId="0CD5FD3F" w:rsidR="008D02E1" w:rsidRDefault="008D02E1" w:rsidP="008D02E1">
            <w:r w:rsidRPr="000109A9">
              <w:t>Digital engagement</w:t>
            </w:r>
          </w:p>
        </w:tc>
      </w:tr>
      <w:tr w:rsidR="008D02E1" w14:paraId="70337551" w14:textId="77777777" w:rsidTr="0058088C">
        <w:tc>
          <w:tcPr>
            <w:tcW w:w="1693" w:type="dxa"/>
          </w:tcPr>
          <w:p w14:paraId="29188BEB" w14:textId="08612040" w:rsidR="008D02E1" w:rsidRDefault="008D02E1" w:rsidP="008D02E1">
            <w:r>
              <w:t>Making Connections During the Coronavirus Pandemic</w:t>
            </w:r>
          </w:p>
        </w:tc>
        <w:tc>
          <w:tcPr>
            <w:tcW w:w="5106" w:type="dxa"/>
          </w:tcPr>
          <w:p w14:paraId="111ED9DF" w14:textId="77777777" w:rsidR="008D02E1" w:rsidRDefault="008D02E1" w:rsidP="008D02E1">
            <w:r>
              <w:t>A guide from the Elizabeth Blackwell Institute at the University of Bristol. Covers the basics of engagement and some practical tips for engagement during the pandemic.</w:t>
            </w:r>
          </w:p>
          <w:p w14:paraId="2DBC81AD" w14:textId="77777777" w:rsidR="008D02E1" w:rsidRPr="00016F17" w:rsidRDefault="008D02E1" w:rsidP="008D02E1"/>
        </w:tc>
        <w:tc>
          <w:tcPr>
            <w:tcW w:w="5468" w:type="dxa"/>
          </w:tcPr>
          <w:p w14:paraId="33C79261" w14:textId="6798F057" w:rsidR="008D02E1" w:rsidRDefault="00F50BC1" w:rsidP="008D02E1">
            <w:pPr>
              <w:rPr>
                <w:rStyle w:val="Hyperlink"/>
              </w:rPr>
            </w:pPr>
            <w:hyperlink r:id="rId19" w:history="1">
              <w:r w:rsidR="008D02E1">
                <w:rPr>
                  <w:rStyle w:val="Hyperlink"/>
                </w:rPr>
                <w:t>http://www.bris.ac.uk/blackwell/public-engagement/update-during-coronavirus/making-connections/</w:t>
              </w:r>
            </w:hyperlink>
          </w:p>
        </w:tc>
        <w:tc>
          <w:tcPr>
            <w:tcW w:w="1681" w:type="dxa"/>
          </w:tcPr>
          <w:p w14:paraId="71491983" w14:textId="77777777" w:rsidR="008D02E1" w:rsidRDefault="008D02E1" w:rsidP="008D02E1">
            <w:r>
              <w:t>Digital engagement</w:t>
            </w:r>
          </w:p>
          <w:p w14:paraId="1C64A39D" w14:textId="77777777" w:rsidR="008D02E1" w:rsidRDefault="008D02E1" w:rsidP="008D02E1"/>
          <w:p w14:paraId="5BE57C99" w14:textId="77777777" w:rsidR="008D02E1" w:rsidRDefault="008D02E1" w:rsidP="008D02E1">
            <w:r>
              <w:t>Socially distanced engagement</w:t>
            </w:r>
          </w:p>
          <w:p w14:paraId="0A47667D" w14:textId="77777777" w:rsidR="008D02E1" w:rsidRDefault="008D02E1" w:rsidP="008D02E1"/>
        </w:tc>
      </w:tr>
      <w:tr w:rsidR="008D02E1" w14:paraId="3820975F" w14:textId="77777777" w:rsidTr="0058088C">
        <w:tc>
          <w:tcPr>
            <w:tcW w:w="1693" w:type="dxa"/>
          </w:tcPr>
          <w:p w14:paraId="354AED83" w14:textId="52D64CC4" w:rsidR="008D02E1" w:rsidRDefault="008D02E1" w:rsidP="008D02E1">
            <w:r w:rsidRPr="00437C98">
              <w:t>A map of resources for co-producing research in health and social care</w:t>
            </w:r>
          </w:p>
        </w:tc>
        <w:tc>
          <w:tcPr>
            <w:tcW w:w="5106" w:type="dxa"/>
          </w:tcPr>
          <w:p w14:paraId="024BD9B1" w14:textId="77777777" w:rsidR="008D02E1" w:rsidRDefault="008D02E1" w:rsidP="008D02E1">
            <w:r w:rsidRPr="00437C98">
              <w:t xml:space="preserve">A guide </w:t>
            </w:r>
            <w:r>
              <w:t xml:space="preserve">for </w:t>
            </w:r>
            <w:r w:rsidRPr="00437C98">
              <w:t xml:space="preserve">researchers, professionals and public contributors </w:t>
            </w:r>
            <w:r>
              <w:t xml:space="preserve">to navigate </w:t>
            </w:r>
            <w:r w:rsidRPr="00437C98">
              <w:t>the different tools and guidance that can help people produce research together</w:t>
            </w:r>
            <w:r>
              <w:t>.</w:t>
            </w:r>
          </w:p>
          <w:p w14:paraId="32EB10A7" w14:textId="77777777" w:rsidR="008D02E1" w:rsidRDefault="008D02E1" w:rsidP="008D02E1"/>
          <w:p w14:paraId="7EEA96BB" w14:textId="77777777" w:rsidR="008D02E1" w:rsidRDefault="008D02E1" w:rsidP="008D02E1">
            <w:r>
              <w:t>Features a section on co-production during Covid-19.</w:t>
            </w:r>
          </w:p>
          <w:p w14:paraId="168684C6" w14:textId="77777777" w:rsidR="008D02E1" w:rsidRDefault="008D02E1" w:rsidP="008D02E1"/>
        </w:tc>
        <w:tc>
          <w:tcPr>
            <w:tcW w:w="5468" w:type="dxa"/>
          </w:tcPr>
          <w:p w14:paraId="41A04CA9" w14:textId="08A58065" w:rsidR="008D02E1" w:rsidRDefault="00F50BC1" w:rsidP="008D02E1">
            <w:pPr>
              <w:rPr>
                <w:rStyle w:val="Hyperlink"/>
              </w:rPr>
            </w:pPr>
            <w:hyperlink r:id="rId20" w:history="1">
              <w:r w:rsidR="008D02E1">
                <w:rPr>
                  <w:rStyle w:val="Hyperlink"/>
                </w:rPr>
                <w:t>https://arc-w.nihr.ac.uk/publications/a-map-of-resources-for-co-producing-research-in-health-and-social-care/</w:t>
              </w:r>
            </w:hyperlink>
          </w:p>
        </w:tc>
        <w:tc>
          <w:tcPr>
            <w:tcW w:w="1681" w:type="dxa"/>
          </w:tcPr>
          <w:p w14:paraId="503B4AED" w14:textId="77777777" w:rsidR="008D02E1" w:rsidRDefault="008D02E1" w:rsidP="008D02E1">
            <w:r>
              <w:t>Patient and Public Involvement</w:t>
            </w:r>
          </w:p>
          <w:p w14:paraId="0DB654B2" w14:textId="77777777" w:rsidR="008D02E1" w:rsidRDefault="008D02E1" w:rsidP="008D02E1"/>
          <w:p w14:paraId="3DA9DA18" w14:textId="26DBE80A" w:rsidR="008D02E1" w:rsidRDefault="008D02E1" w:rsidP="008D02E1">
            <w:r>
              <w:t>Digital engagement</w:t>
            </w:r>
          </w:p>
        </w:tc>
      </w:tr>
      <w:tr w:rsidR="008D02E1" w14:paraId="1DA7FD5B" w14:textId="77777777" w:rsidTr="0058088C">
        <w:tc>
          <w:tcPr>
            <w:tcW w:w="1693" w:type="dxa"/>
          </w:tcPr>
          <w:p w14:paraId="0B9CF3D8" w14:textId="77777777" w:rsidR="008D02E1" w:rsidRDefault="008D02E1" w:rsidP="008D02E1">
            <w:r w:rsidRPr="00F8539F">
              <w:t>Online Engagement: A guide to creating and running virtual meetings and events</w:t>
            </w:r>
          </w:p>
          <w:p w14:paraId="2E5151DC" w14:textId="5D618406" w:rsidR="008D02E1" w:rsidRDefault="008D02E1" w:rsidP="008D02E1"/>
        </w:tc>
        <w:tc>
          <w:tcPr>
            <w:tcW w:w="5106" w:type="dxa"/>
          </w:tcPr>
          <w:p w14:paraId="00BE3A7F" w14:textId="0112C375" w:rsidR="008D02E1" w:rsidRDefault="008D02E1" w:rsidP="008D02E1">
            <w:r>
              <w:t>A guide on engaging publics using digital platforms.</w:t>
            </w:r>
          </w:p>
        </w:tc>
        <w:tc>
          <w:tcPr>
            <w:tcW w:w="5468" w:type="dxa"/>
          </w:tcPr>
          <w:p w14:paraId="1CD6B7E3" w14:textId="47E11AD9" w:rsidR="008D02E1" w:rsidRDefault="00F50BC1" w:rsidP="008D02E1">
            <w:pPr>
              <w:rPr>
                <w:rStyle w:val="Hyperlink"/>
              </w:rPr>
            </w:pPr>
            <w:hyperlink r:id="rId21" w:history="1">
              <w:r w:rsidR="008D02E1">
                <w:rPr>
                  <w:rStyle w:val="Hyperlink"/>
                </w:rPr>
                <w:t>https://www.publicengagement.ac.uk/meaningful-engagement-online-events</w:t>
              </w:r>
            </w:hyperlink>
          </w:p>
        </w:tc>
        <w:tc>
          <w:tcPr>
            <w:tcW w:w="1681" w:type="dxa"/>
          </w:tcPr>
          <w:p w14:paraId="74593736" w14:textId="21CFCB48" w:rsidR="008D02E1" w:rsidRDefault="008D02E1" w:rsidP="008D02E1">
            <w:r w:rsidRPr="000109A9">
              <w:t>P6 – online platforms list</w:t>
            </w:r>
          </w:p>
        </w:tc>
      </w:tr>
      <w:tr w:rsidR="008D02E1" w14:paraId="2E577A9D" w14:textId="77777777" w:rsidTr="0058088C">
        <w:tc>
          <w:tcPr>
            <w:tcW w:w="1693" w:type="dxa"/>
          </w:tcPr>
          <w:p w14:paraId="6005DBA5" w14:textId="3BB63CEF" w:rsidR="008D02E1" w:rsidRDefault="008D02E1" w:rsidP="008D02E1">
            <w:r w:rsidRPr="00F60C49">
              <w:t>Top tips for carrying out PPI activities during COVID-19</w:t>
            </w:r>
          </w:p>
        </w:tc>
        <w:tc>
          <w:tcPr>
            <w:tcW w:w="5106" w:type="dxa"/>
          </w:tcPr>
          <w:p w14:paraId="5BC840C0" w14:textId="594C6401" w:rsidR="008D02E1" w:rsidRDefault="008D02E1" w:rsidP="008D02E1">
            <w:r w:rsidRPr="00F60C49">
              <w:t>T</w:t>
            </w:r>
            <w:r>
              <w:t xml:space="preserve">op tips for </w:t>
            </w:r>
            <w:r w:rsidRPr="00F60C49">
              <w:t>researchers who are in the process of applying for grants,</w:t>
            </w:r>
            <w:r>
              <w:t xml:space="preserve"> to</w:t>
            </w:r>
            <w:r w:rsidRPr="00F60C49">
              <w:t xml:space="preserve"> consider how to ensure they can continue to collaborate with public representatives in a meaningful way.</w:t>
            </w:r>
          </w:p>
        </w:tc>
        <w:tc>
          <w:tcPr>
            <w:tcW w:w="5468" w:type="dxa"/>
          </w:tcPr>
          <w:p w14:paraId="2C68F099" w14:textId="62A569A1" w:rsidR="008D02E1" w:rsidRDefault="00F50BC1" w:rsidP="008D02E1">
            <w:pPr>
              <w:rPr>
                <w:rStyle w:val="Hyperlink"/>
              </w:rPr>
            </w:pPr>
            <w:hyperlink r:id="rId22" w:history="1">
              <w:r w:rsidR="008D02E1">
                <w:rPr>
                  <w:rStyle w:val="Hyperlink"/>
                </w:rPr>
                <w:t>https://www.rds-sc.nihr.ac.uk/ppi-information-resources/ppi-covid19/</w:t>
              </w:r>
            </w:hyperlink>
          </w:p>
        </w:tc>
        <w:tc>
          <w:tcPr>
            <w:tcW w:w="1681" w:type="dxa"/>
          </w:tcPr>
          <w:p w14:paraId="7ED23B92" w14:textId="77777777" w:rsidR="008D02E1" w:rsidRDefault="008D02E1" w:rsidP="008D02E1">
            <w:r>
              <w:t>Patient and Public Involvement</w:t>
            </w:r>
          </w:p>
          <w:p w14:paraId="62445A6E" w14:textId="77777777" w:rsidR="008D02E1" w:rsidRDefault="008D02E1" w:rsidP="008D02E1"/>
          <w:p w14:paraId="734E1AAE" w14:textId="77777777" w:rsidR="008D02E1" w:rsidRDefault="008D02E1" w:rsidP="008D02E1">
            <w:r>
              <w:t>Digital engagement</w:t>
            </w:r>
          </w:p>
          <w:p w14:paraId="50E2F82B" w14:textId="77777777" w:rsidR="008D02E1" w:rsidRDefault="008D02E1" w:rsidP="008D02E1"/>
        </w:tc>
      </w:tr>
      <w:tr w:rsidR="008D02E1" w14:paraId="06EB3D2B" w14:textId="77777777" w:rsidTr="0058088C">
        <w:tc>
          <w:tcPr>
            <w:tcW w:w="1693" w:type="dxa"/>
          </w:tcPr>
          <w:p w14:paraId="044CA685" w14:textId="77777777" w:rsidR="008D02E1" w:rsidRDefault="008D02E1" w:rsidP="008D02E1">
            <w:r w:rsidRPr="00F60C49">
              <w:t xml:space="preserve">Shared </w:t>
            </w:r>
            <w:r>
              <w:t>National Institute for Health Research (</w:t>
            </w:r>
            <w:r w:rsidRPr="00F60C49">
              <w:t>NIHR</w:t>
            </w:r>
            <w:r>
              <w:t>)</w:t>
            </w:r>
            <w:r w:rsidRPr="00F60C49">
              <w:t xml:space="preserve"> commitments to public involvement, participation and engagement during the COVID-19 pandemic</w:t>
            </w:r>
          </w:p>
          <w:p w14:paraId="0FEC369F" w14:textId="3387131C" w:rsidR="008D02E1" w:rsidRDefault="008D02E1" w:rsidP="008D02E1"/>
        </w:tc>
        <w:tc>
          <w:tcPr>
            <w:tcW w:w="5106" w:type="dxa"/>
          </w:tcPr>
          <w:p w14:paraId="5FF4EC6A" w14:textId="77777777" w:rsidR="008D02E1" w:rsidRDefault="008D02E1" w:rsidP="008D02E1">
            <w:r w:rsidRPr="00F60C49">
              <w:t>The NIHR Public Involvement Senior Leadership Team has agreed new commitments for patient and public involvement, engagement and participation (PIE) during the COVID-19 pandemic.</w:t>
            </w:r>
          </w:p>
          <w:p w14:paraId="73F830EC" w14:textId="77777777" w:rsidR="008D02E1" w:rsidRDefault="008D02E1" w:rsidP="008D02E1"/>
        </w:tc>
        <w:tc>
          <w:tcPr>
            <w:tcW w:w="5468" w:type="dxa"/>
          </w:tcPr>
          <w:p w14:paraId="1379D2A9" w14:textId="521E9724" w:rsidR="008D02E1" w:rsidRDefault="00F50BC1" w:rsidP="008D02E1">
            <w:pPr>
              <w:rPr>
                <w:rStyle w:val="Hyperlink"/>
              </w:rPr>
            </w:pPr>
            <w:hyperlink r:id="rId23" w:history="1">
              <w:r w:rsidR="008D02E1">
                <w:rPr>
                  <w:rStyle w:val="Hyperlink"/>
                </w:rPr>
                <w:t>https://www.nihr.ac.uk/documents/shared-nihr-commitments-to-public-involvement-participation-and-engagement-during-the-covid-19-pandemic/24640</w:t>
              </w:r>
            </w:hyperlink>
          </w:p>
        </w:tc>
        <w:tc>
          <w:tcPr>
            <w:tcW w:w="1681" w:type="dxa"/>
          </w:tcPr>
          <w:p w14:paraId="7A992AD9" w14:textId="77777777" w:rsidR="008D02E1" w:rsidRDefault="008D02E1" w:rsidP="008D02E1">
            <w:r>
              <w:t>Patient and Public Involvement</w:t>
            </w:r>
          </w:p>
          <w:p w14:paraId="610DC0D0" w14:textId="77777777" w:rsidR="008D02E1" w:rsidRDefault="008D02E1" w:rsidP="008D02E1"/>
          <w:p w14:paraId="439359DD" w14:textId="67AAE0AC" w:rsidR="008D02E1" w:rsidRDefault="008D02E1" w:rsidP="008D02E1">
            <w:r>
              <w:t>Digital engagement</w:t>
            </w:r>
          </w:p>
        </w:tc>
      </w:tr>
      <w:tr w:rsidR="008D02E1" w14:paraId="374CDC0A" w14:textId="77777777" w:rsidTr="0058088C">
        <w:tc>
          <w:tcPr>
            <w:tcW w:w="1693" w:type="dxa"/>
          </w:tcPr>
          <w:p w14:paraId="6080308E" w14:textId="217A2304" w:rsidR="008D02E1" w:rsidRDefault="008D02E1" w:rsidP="008D02E1">
            <w:r>
              <w:t>Guide to Online Engagement</w:t>
            </w:r>
          </w:p>
        </w:tc>
        <w:tc>
          <w:tcPr>
            <w:tcW w:w="5106" w:type="dxa"/>
          </w:tcPr>
          <w:p w14:paraId="659E25F2" w14:textId="77777777" w:rsidR="008D02E1" w:rsidRDefault="008D02E1" w:rsidP="008D02E1">
            <w:r>
              <w:t>The University of Bath’s Public Engagement with Research Unit shares their top tips on moving your engagement online.</w:t>
            </w:r>
          </w:p>
          <w:p w14:paraId="30D3AF79" w14:textId="77777777" w:rsidR="008D02E1" w:rsidRDefault="008D02E1" w:rsidP="008D02E1"/>
        </w:tc>
        <w:tc>
          <w:tcPr>
            <w:tcW w:w="5468" w:type="dxa"/>
          </w:tcPr>
          <w:p w14:paraId="4A875AEA" w14:textId="77777777" w:rsidR="008D02E1" w:rsidRDefault="00F50BC1" w:rsidP="008D02E1">
            <w:pPr>
              <w:rPr>
                <w:rStyle w:val="Hyperlink"/>
              </w:rPr>
            </w:pPr>
            <w:hyperlink r:id="rId24" w:history="1">
              <w:r w:rsidR="008D02E1">
                <w:rPr>
                  <w:rStyle w:val="Hyperlink"/>
                </w:rPr>
                <w:t>http://blogs.bath.ac.uk/publicengagement/2020/04/23/guide-to-online-engagement/</w:t>
              </w:r>
            </w:hyperlink>
          </w:p>
          <w:p w14:paraId="45B79EF2" w14:textId="77777777" w:rsidR="008F5D32" w:rsidRDefault="008F5D32" w:rsidP="008D02E1">
            <w:pPr>
              <w:rPr>
                <w:rStyle w:val="Hyperlink"/>
              </w:rPr>
            </w:pPr>
          </w:p>
          <w:p w14:paraId="43FF8069" w14:textId="5BE1346F" w:rsidR="008F5D32" w:rsidRDefault="008F5D32" w:rsidP="008D02E1">
            <w:pPr>
              <w:rPr>
                <w:rStyle w:val="Hyperlink"/>
              </w:rPr>
            </w:pPr>
          </w:p>
        </w:tc>
        <w:tc>
          <w:tcPr>
            <w:tcW w:w="1681" w:type="dxa"/>
          </w:tcPr>
          <w:p w14:paraId="6D3E231A" w14:textId="77777777" w:rsidR="008D02E1" w:rsidRDefault="008D02E1" w:rsidP="008D02E1">
            <w:r>
              <w:t>Digital engagement</w:t>
            </w:r>
          </w:p>
          <w:p w14:paraId="03D57B62" w14:textId="77777777" w:rsidR="008D02E1" w:rsidRDefault="008D02E1" w:rsidP="008D02E1"/>
          <w:p w14:paraId="3BEE129D" w14:textId="2FEB1779" w:rsidR="008D02E1" w:rsidRDefault="008D02E1" w:rsidP="008D02E1">
            <w:r>
              <w:t>Adapting existing PE</w:t>
            </w:r>
          </w:p>
        </w:tc>
      </w:tr>
      <w:tr w:rsidR="008F5D32" w14:paraId="49023156" w14:textId="77777777" w:rsidTr="0058088C">
        <w:tc>
          <w:tcPr>
            <w:tcW w:w="1693" w:type="dxa"/>
          </w:tcPr>
          <w:p w14:paraId="10B8A2DA" w14:textId="449D3166" w:rsidR="008F5D32" w:rsidRDefault="008F5D32" w:rsidP="008D02E1">
            <w:r>
              <w:lastRenderedPageBreak/>
              <w:t>Supporting Impact through Online Public Engagement</w:t>
            </w:r>
          </w:p>
        </w:tc>
        <w:tc>
          <w:tcPr>
            <w:tcW w:w="5106" w:type="dxa"/>
          </w:tcPr>
          <w:p w14:paraId="591E6039" w14:textId="093217F1" w:rsidR="008F5D32" w:rsidRDefault="008F5D32" w:rsidP="008F5D32">
            <w:r>
              <w:t>The University of Bath’s Public Engagement with Research Unit shares a recording of a recent online webinar sharing ways in which to move your engagement online.</w:t>
            </w:r>
          </w:p>
          <w:p w14:paraId="164C4855" w14:textId="77777777" w:rsidR="008F5D32" w:rsidRDefault="008F5D32" w:rsidP="008D02E1"/>
        </w:tc>
        <w:tc>
          <w:tcPr>
            <w:tcW w:w="5468" w:type="dxa"/>
          </w:tcPr>
          <w:p w14:paraId="077FB522" w14:textId="69A571EB" w:rsidR="008F5D32" w:rsidRDefault="00F50BC1" w:rsidP="008D02E1">
            <w:pPr>
              <w:rPr>
                <w:rStyle w:val="Hyperlink"/>
              </w:rPr>
            </w:pPr>
            <w:hyperlink r:id="rId25" w:history="1">
              <w:r w:rsidR="008F5D32">
                <w:rPr>
                  <w:rStyle w:val="Hyperlink"/>
                  <w:rFonts w:ascii="Calibri" w:hAnsi="Calibri"/>
                  <w:lang w:val="es-ES_tradnl"/>
                </w:rPr>
                <w:t>https://vimeo.com/434362613/a1f9b2a045</w:t>
              </w:r>
            </w:hyperlink>
          </w:p>
        </w:tc>
        <w:tc>
          <w:tcPr>
            <w:tcW w:w="1681" w:type="dxa"/>
          </w:tcPr>
          <w:p w14:paraId="59B11DA0" w14:textId="77777777" w:rsidR="008F5D32" w:rsidRDefault="008F5D32" w:rsidP="008F5D32">
            <w:r>
              <w:t>Digital engagement</w:t>
            </w:r>
          </w:p>
          <w:p w14:paraId="7ACA6CEC" w14:textId="77777777" w:rsidR="008F5D32" w:rsidRDefault="008F5D32" w:rsidP="008F5D32"/>
          <w:p w14:paraId="49547B12" w14:textId="42C185DB" w:rsidR="008F5D32" w:rsidRDefault="008F5D32" w:rsidP="008F5D32">
            <w:r>
              <w:t>Adapting existing PE</w:t>
            </w:r>
          </w:p>
        </w:tc>
      </w:tr>
      <w:tr w:rsidR="008D02E1" w14:paraId="0D7D3388" w14:textId="77777777" w:rsidTr="0058088C">
        <w:tc>
          <w:tcPr>
            <w:tcW w:w="1693" w:type="dxa"/>
          </w:tcPr>
          <w:p w14:paraId="05FE6D85" w14:textId="77777777" w:rsidR="008D02E1" w:rsidRDefault="008D02E1" w:rsidP="008D02E1">
            <w:r>
              <w:t>Online Communities and Communication Tools</w:t>
            </w:r>
          </w:p>
          <w:p w14:paraId="417D471F" w14:textId="68F051A0" w:rsidR="008D02E1" w:rsidRDefault="008D02E1" w:rsidP="008D02E1"/>
        </w:tc>
        <w:tc>
          <w:tcPr>
            <w:tcW w:w="5106" w:type="dxa"/>
          </w:tcPr>
          <w:p w14:paraId="66784AB4" w14:textId="77777777" w:rsidR="008D02E1" w:rsidRDefault="008D02E1" w:rsidP="008D02E1">
            <w:r>
              <w:t>A series of guidebooks for anyone wishing to use Slack as a collaborative workspace.</w:t>
            </w:r>
          </w:p>
          <w:p w14:paraId="7E1E3A5D" w14:textId="77777777" w:rsidR="008D02E1" w:rsidRDefault="008D02E1" w:rsidP="008D02E1"/>
        </w:tc>
        <w:tc>
          <w:tcPr>
            <w:tcW w:w="5468" w:type="dxa"/>
          </w:tcPr>
          <w:p w14:paraId="68B1F446" w14:textId="2FD6C497" w:rsidR="008D02E1" w:rsidRDefault="00F50BC1" w:rsidP="008D02E1">
            <w:pPr>
              <w:rPr>
                <w:rStyle w:val="Hyperlink"/>
              </w:rPr>
            </w:pPr>
            <w:hyperlink r:id="rId26" w:history="1">
              <w:r w:rsidR="008D02E1">
                <w:rPr>
                  <w:rStyle w:val="Hyperlink"/>
                </w:rPr>
                <w:t>https://www.cscce.org/resources/online-communities-and-communication-tools/</w:t>
              </w:r>
            </w:hyperlink>
          </w:p>
        </w:tc>
        <w:tc>
          <w:tcPr>
            <w:tcW w:w="1681" w:type="dxa"/>
          </w:tcPr>
          <w:p w14:paraId="0DF51041" w14:textId="5D40AF98" w:rsidR="008D02E1" w:rsidRDefault="008D02E1" w:rsidP="008D02E1">
            <w:r>
              <w:t>Digital engagement</w:t>
            </w:r>
          </w:p>
        </w:tc>
      </w:tr>
      <w:tr w:rsidR="008D02E1" w14:paraId="4D2875C3" w14:textId="77777777" w:rsidTr="0058088C">
        <w:tc>
          <w:tcPr>
            <w:tcW w:w="1693" w:type="dxa"/>
          </w:tcPr>
          <w:p w14:paraId="0CBC2E82" w14:textId="77777777" w:rsidR="008D02E1" w:rsidRDefault="008D02E1" w:rsidP="008D02E1">
            <w:r>
              <w:t>Carry on co-producing: handy hints and tips to help you out</w:t>
            </w:r>
          </w:p>
          <w:p w14:paraId="3A75AD1A" w14:textId="159D32C9" w:rsidR="008D02E1" w:rsidRDefault="008D02E1" w:rsidP="008D02E1"/>
        </w:tc>
        <w:tc>
          <w:tcPr>
            <w:tcW w:w="5106" w:type="dxa"/>
          </w:tcPr>
          <w:p w14:paraId="4F7EA16D" w14:textId="4AB21752" w:rsidR="008D02E1" w:rsidRDefault="008D02E1" w:rsidP="008D02E1">
            <w:r>
              <w:t xml:space="preserve">University College London shares tips and advice for </w:t>
            </w:r>
            <w:r w:rsidRPr="00FF7D15">
              <w:t xml:space="preserve">virtual co-production, listing handbooks </w:t>
            </w:r>
            <w:r>
              <w:t>they</w:t>
            </w:r>
            <w:r w:rsidRPr="00FF7D15">
              <w:t xml:space="preserve"> have found useful, s</w:t>
            </w:r>
            <w:r>
              <w:t>ome training courses to try out and</w:t>
            </w:r>
            <w:r w:rsidRPr="00FF7D15">
              <w:t xml:space="preserve"> info</w:t>
            </w:r>
            <w:r>
              <w:t>rmation</w:t>
            </w:r>
            <w:r w:rsidRPr="00FF7D15">
              <w:t xml:space="preserve"> on acces</w:t>
            </w:r>
            <w:r>
              <w:t>sibility.</w:t>
            </w:r>
          </w:p>
        </w:tc>
        <w:tc>
          <w:tcPr>
            <w:tcW w:w="5468" w:type="dxa"/>
          </w:tcPr>
          <w:p w14:paraId="4803AA6A" w14:textId="2D357783" w:rsidR="008D02E1" w:rsidRDefault="00F50BC1" w:rsidP="008D02E1">
            <w:pPr>
              <w:rPr>
                <w:rStyle w:val="Hyperlink"/>
              </w:rPr>
            </w:pPr>
            <w:hyperlink r:id="rId27" w:history="1">
              <w:r w:rsidR="008D02E1">
                <w:rPr>
                  <w:rStyle w:val="Hyperlink"/>
                </w:rPr>
                <w:t>https://blogs.ucl.ac.uk/public-engagement/2020/05/06/carry-on-co-producing-part2/</w:t>
              </w:r>
            </w:hyperlink>
          </w:p>
        </w:tc>
        <w:tc>
          <w:tcPr>
            <w:tcW w:w="1681" w:type="dxa"/>
          </w:tcPr>
          <w:p w14:paraId="7736A471" w14:textId="77777777" w:rsidR="008D02E1" w:rsidRDefault="008D02E1" w:rsidP="008D02E1">
            <w:r>
              <w:t>Digital engagement</w:t>
            </w:r>
          </w:p>
          <w:p w14:paraId="064F8AAD" w14:textId="77777777" w:rsidR="008D02E1" w:rsidRDefault="008D02E1" w:rsidP="008D02E1"/>
          <w:p w14:paraId="4FAD79DA" w14:textId="3487B9A2" w:rsidR="008D02E1" w:rsidRDefault="008D02E1" w:rsidP="008D02E1">
            <w:r>
              <w:t xml:space="preserve">Adapting existing </w:t>
            </w:r>
            <w:r w:rsidRPr="000109A9">
              <w:t>PE</w:t>
            </w:r>
          </w:p>
        </w:tc>
      </w:tr>
      <w:tr w:rsidR="008D02E1" w14:paraId="15B1749E" w14:textId="77777777" w:rsidTr="0058088C">
        <w:tc>
          <w:tcPr>
            <w:tcW w:w="1693" w:type="dxa"/>
          </w:tcPr>
          <w:p w14:paraId="60ED9EDB" w14:textId="77777777" w:rsidR="008D02E1" w:rsidRPr="002C23BC" w:rsidRDefault="008D02E1" w:rsidP="008D02E1">
            <w:r w:rsidRPr="002C23BC">
              <w:t>25 useful free online tools for workshop planning and meeting facilitation</w:t>
            </w:r>
          </w:p>
          <w:p w14:paraId="37DE47E5" w14:textId="77777777" w:rsidR="008D02E1" w:rsidRDefault="008D02E1" w:rsidP="008D02E1"/>
        </w:tc>
        <w:tc>
          <w:tcPr>
            <w:tcW w:w="5106" w:type="dxa"/>
          </w:tcPr>
          <w:p w14:paraId="6578DC7A" w14:textId="588960E4" w:rsidR="008D02E1" w:rsidRDefault="008D02E1" w:rsidP="008D02E1">
            <w:r>
              <w:t>Are you facilitating workshops, meetings or training sessions regularly? There are plenty of online tools to make your life easier when you need to prepare for meeting facilitation and to conduct workshops.</w:t>
            </w:r>
          </w:p>
        </w:tc>
        <w:tc>
          <w:tcPr>
            <w:tcW w:w="5468" w:type="dxa"/>
          </w:tcPr>
          <w:p w14:paraId="68AF2EAD" w14:textId="43B7B59F" w:rsidR="008D02E1" w:rsidRDefault="00F50BC1" w:rsidP="008D02E1">
            <w:pPr>
              <w:rPr>
                <w:rStyle w:val="Hyperlink"/>
              </w:rPr>
            </w:pPr>
            <w:hyperlink r:id="rId28" w:history="1">
              <w:r w:rsidR="008D02E1">
                <w:rPr>
                  <w:rStyle w:val="Hyperlink"/>
                </w:rPr>
                <w:t>https://www.sessionlab.com/blog/online-tools-for-workshops/</w:t>
              </w:r>
            </w:hyperlink>
          </w:p>
        </w:tc>
        <w:tc>
          <w:tcPr>
            <w:tcW w:w="1681" w:type="dxa"/>
          </w:tcPr>
          <w:p w14:paraId="2956F6E0" w14:textId="77777777" w:rsidR="008D02E1" w:rsidRDefault="008D02E1" w:rsidP="008D02E1">
            <w:r>
              <w:t>Digital engagement</w:t>
            </w:r>
          </w:p>
          <w:p w14:paraId="114BD992" w14:textId="77777777" w:rsidR="008D02E1" w:rsidRDefault="008D02E1" w:rsidP="008D02E1"/>
          <w:p w14:paraId="239E9471" w14:textId="34A3B27B" w:rsidR="008D02E1" w:rsidRDefault="008D02E1" w:rsidP="008D02E1">
            <w:r>
              <w:t>Adapting existing PE</w:t>
            </w:r>
          </w:p>
        </w:tc>
      </w:tr>
      <w:tr w:rsidR="008D02E1" w14:paraId="4C14B5F8" w14:textId="77777777" w:rsidTr="0058088C">
        <w:tc>
          <w:tcPr>
            <w:tcW w:w="1693" w:type="dxa"/>
          </w:tcPr>
          <w:p w14:paraId="305AE458" w14:textId="1399F412" w:rsidR="008D02E1" w:rsidRDefault="008D02E1" w:rsidP="008D02E1">
            <w:r>
              <w:t>Google Jamboard and MURAL</w:t>
            </w:r>
          </w:p>
          <w:p w14:paraId="5BBE2665" w14:textId="134213D8" w:rsidR="008D02E1" w:rsidRDefault="008D02E1" w:rsidP="008D02E1"/>
        </w:tc>
        <w:tc>
          <w:tcPr>
            <w:tcW w:w="5106" w:type="dxa"/>
          </w:tcPr>
          <w:p w14:paraId="28D3D878" w14:textId="05051DF5" w:rsidR="008D02E1" w:rsidRDefault="008D02E1" w:rsidP="008D02E1">
            <w:r>
              <w:t>Two online-based collaborative working platforms. Jamboard is free, MURAL is a subscription service.</w:t>
            </w:r>
          </w:p>
        </w:tc>
        <w:tc>
          <w:tcPr>
            <w:tcW w:w="5468" w:type="dxa"/>
          </w:tcPr>
          <w:p w14:paraId="08E0005F" w14:textId="77777777" w:rsidR="008D02E1" w:rsidRDefault="00F50BC1" w:rsidP="008D02E1">
            <w:hyperlink r:id="rId29" w:history="1">
              <w:r w:rsidR="008D02E1">
                <w:rPr>
                  <w:rStyle w:val="Hyperlink"/>
                </w:rPr>
                <w:t>https://jamboard.google.com/</w:t>
              </w:r>
            </w:hyperlink>
          </w:p>
          <w:p w14:paraId="147AFB88" w14:textId="77777777" w:rsidR="008D02E1" w:rsidRDefault="008D02E1" w:rsidP="008D02E1"/>
          <w:p w14:paraId="62243D06" w14:textId="617409BE" w:rsidR="008D02E1" w:rsidRDefault="00F50BC1" w:rsidP="008D02E1">
            <w:pPr>
              <w:rPr>
                <w:rStyle w:val="Hyperlink"/>
              </w:rPr>
            </w:pPr>
            <w:hyperlink r:id="rId30" w:history="1">
              <w:r w:rsidR="008D02E1">
                <w:rPr>
                  <w:rStyle w:val="Hyperlink"/>
                </w:rPr>
                <w:t>https://www.mural.co/</w:t>
              </w:r>
            </w:hyperlink>
          </w:p>
        </w:tc>
        <w:tc>
          <w:tcPr>
            <w:tcW w:w="1681" w:type="dxa"/>
          </w:tcPr>
          <w:p w14:paraId="2345E952" w14:textId="3BA6B1F0" w:rsidR="008D02E1" w:rsidRDefault="008D02E1" w:rsidP="008D02E1">
            <w:r>
              <w:t>Digital engagement</w:t>
            </w:r>
          </w:p>
        </w:tc>
      </w:tr>
      <w:tr w:rsidR="008D02E1" w14:paraId="2B11C6A1" w14:textId="77777777" w:rsidTr="0058088C">
        <w:tc>
          <w:tcPr>
            <w:tcW w:w="13948" w:type="dxa"/>
            <w:gridSpan w:val="4"/>
            <w:shd w:val="clear" w:color="auto" w:fill="E7E6E6" w:themeFill="background2"/>
          </w:tcPr>
          <w:p w14:paraId="2F9610DD" w14:textId="5E3EE53B" w:rsidR="008D02E1" w:rsidRPr="0058088C" w:rsidRDefault="008D02E1" w:rsidP="008D02E1">
            <w:pPr>
              <w:rPr>
                <w:b/>
                <w:sz w:val="28"/>
              </w:rPr>
            </w:pPr>
            <w:r w:rsidRPr="0058088C">
              <w:rPr>
                <w:b/>
                <w:sz w:val="28"/>
              </w:rPr>
              <w:t>Engagement examples</w:t>
            </w:r>
          </w:p>
        </w:tc>
      </w:tr>
      <w:tr w:rsidR="008D02E1" w14:paraId="3ACB312C" w14:textId="77777777" w:rsidTr="0058088C">
        <w:tc>
          <w:tcPr>
            <w:tcW w:w="1693" w:type="dxa"/>
          </w:tcPr>
          <w:p w14:paraId="329AC052" w14:textId="0B663587" w:rsidR="008D02E1" w:rsidRDefault="008D02E1" w:rsidP="008D02E1">
            <w:r>
              <w:rPr>
                <w:b/>
                <w:bCs/>
                <w:sz w:val="24"/>
              </w:rPr>
              <w:t>Title</w:t>
            </w:r>
          </w:p>
        </w:tc>
        <w:tc>
          <w:tcPr>
            <w:tcW w:w="5106" w:type="dxa"/>
          </w:tcPr>
          <w:p w14:paraId="75D0E7E5" w14:textId="6B2036EF" w:rsidR="008D02E1" w:rsidRDefault="008D02E1" w:rsidP="008D02E1">
            <w:r w:rsidRPr="00016F17">
              <w:rPr>
                <w:b/>
                <w:bCs/>
                <w:sz w:val="24"/>
              </w:rPr>
              <w:t>Description</w:t>
            </w:r>
          </w:p>
        </w:tc>
        <w:tc>
          <w:tcPr>
            <w:tcW w:w="5468" w:type="dxa"/>
          </w:tcPr>
          <w:p w14:paraId="6A5D41C9" w14:textId="4DE8662F" w:rsidR="008D02E1" w:rsidRDefault="008D02E1" w:rsidP="008D02E1">
            <w:pPr>
              <w:rPr>
                <w:rStyle w:val="Hyperlink"/>
              </w:rPr>
            </w:pPr>
            <w:r w:rsidRPr="00016F17">
              <w:rPr>
                <w:b/>
                <w:bCs/>
                <w:sz w:val="24"/>
              </w:rPr>
              <w:t>Link</w:t>
            </w:r>
          </w:p>
        </w:tc>
        <w:tc>
          <w:tcPr>
            <w:tcW w:w="1681" w:type="dxa"/>
          </w:tcPr>
          <w:p w14:paraId="16B1B721" w14:textId="67A5008C" w:rsidR="008D02E1" w:rsidRDefault="008D02E1" w:rsidP="008D02E1">
            <w:r>
              <w:rPr>
                <w:b/>
                <w:bCs/>
                <w:sz w:val="24"/>
              </w:rPr>
              <w:t>Tags</w:t>
            </w:r>
          </w:p>
        </w:tc>
      </w:tr>
      <w:tr w:rsidR="008D02E1" w14:paraId="4D5A451D" w14:textId="77777777" w:rsidTr="0058088C">
        <w:tc>
          <w:tcPr>
            <w:tcW w:w="1693" w:type="dxa"/>
          </w:tcPr>
          <w:p w14:paraId="6905E834" w14:textId="2A9F8960" w:rsidR="008D02E1" w:rsidRDefault="008D02E1" w:rsidP="008D02E1">
            <w:r>
              <w:t>Sidewalk Science</w:t>
            </w:r>
          </w:p>
        </w:tc>
        <w:tc>
          <w:tcPr>
            <w:tcW w:w="5106" w:type="dxa"/>
          </w:tcPr>
          <w:p w14:paraId="5E9449B1" w14:textId="77777777" w:rsidR="008D02E1" w:rsidRDefault="008D02E1" w:rsidP="008D02E1">
            <w:r>
              <w:t>Danna Staaf shares their experiences of engaging passing publics in their chalk-based engagement.</w:t>
            </w:r>
          </w:p>
          <w:p w14:paraId="22A9F93F" w14:textId="4565E70A" w:rsidR="008D02E1" w:rsidRPr="00016F17" w:rsidRDefault="008D02E1" w:rsidP="008D02E1"/>
        </w:tc>
        <w:tc>
          <w:tcPr>
            <w:tcW w:w="5468" w:type="dxa"/>
          </w:tcPr>
          <w:p w14:paraId="715D4931" w14:textId="77777777" w:rsidR="008D02E1" w:rsidRDefault="00F50BC1" w:rsidP="008D02E1">
            <w:hyperlink r:id="rId31" w:history="1">
              <w:r w:rsidR="008D02E1">
                <w:rPr>
                  <w:rStyle w:val="Hyperlink"/>
                </w:rPr>
                <w:t>https://twitter.com/DannaStaaf/status/1255882864144470017</w:t>
              </w:r>
            </w:hyperlink>
          </w:p>
          <w:p w14:paraId="6DCB9E01" w14:textId="77777777" w:rsidR="008D02E1" w:rsidRDefault="008D02E1" w:rsidP="008D02E1">
            <w:pPr>
              <w:rPr>
                <w:rStyle w:val="Hyperlink"/>
              </w:rPr>
            </w:pPr>
          </w:p>
        </w:tc>
        <w:tc>
          <w:tcPr>
            <w:tcW w:w="1681" w:type="dxa"/>
          </w:tcPr>
          <w:p w14:paraId="37798E71" w14:textId="22CDBF7C" w:rsidR="008D02E1" w:rsidRDefault="008D02E1" w:rsidP="008D02E1">
            <w:r>
              <w:t>Socially distanced engagement</w:t>
            </w:r>
          </w:p>
        </w:tc>
      </w:tr>
      <w:tr w:rsidR="008D02E1" w14:paraId="5D4DB05A" w14:textId="77777777" w:rsidTr="0058088C">
        <w:tc>
          <w:tcPr>
            <w:tcW w:w="1693" w:type="dxa"/>
          </w:tcPr>
          <w:p w14:paraId="71435644" w14:textId="5AAB5B62" w:rsidR="008D02E1" w:rsidRDefault="008D02E1" w:rsidP="008D02E1">
            <w:r>
              <w:t xml:space="preserve">Writing Back </w:t>
            </w:r>
          </w:p>
        </w:tc>
        <w:tc>
          <w:tcPr>
            <w:tcW w:w="5106" w:type="dxa"/>
          </w:tcPr>
          <w:p w14:paraId="79DBF180" w14:textId="77777777" w:rsidR="008D02E1" w:rsidRDefault="008D02E1" w:rsidP="008D02E1">
            <w:r>
              <w:t xml:space="preserve">The project </w:t>
            </w:r>
            <w:r w:rsidRPr="00016F17">
              <w:t>tackles loneliness and isolation using a pen pal exchange between university students in Leeds and older residents in Yorkshire.</w:t>
            </w:r>
          </w:p>
          <w:p w14:paraId="3F515761" w14:textId="7ADDB3B6" w:rsidR="008D02E1" w:rsidRPr="00016F17" w:rsidRDefault="008D02E1" w:rsidP="008D02E1"/>
        </w:tc>
        <w:tc>
          <w:tcPr>
            <w:tcW w:w="5468" w:type="dxa"/>
          </w:tcPr>
          <w:p w14:paraId="264449A6" w14:textId="77777777" w:rsidR="008D02E1" w:rsidRDefault="00F50BC1" w:rsidP="008D02E1">
            <w:hyperlink r:id="rId32" w:history="1">
              <w:r w:rsidR="008D02E1">
                <w:rPr>
                  <w:rStyle w:val="Hyperlink"/>
                </w:rPr>
                <w:t>https://www.publicengagement.ac.uk/do-engagement/inspire-me/case-studies/writing-back</w:t>
              </w:r>
            </w:hyperlink>
          </w:p>
          <w:p w14:paraId="24CA3AF3" w14:textId="77777777" w:rsidR="008D02E1" w:rsidRDefault="008D02E1" w:rsidP="008D02E1"/>
          <w:p w14:paraId="7D44475A" w14:textId="77777777" w:rsidR="008D02E1" w:rsidRDefault="00F50BC1" w:rsidP="008D02E1">
            <w:hyperlink r:id="rId33" w:history="1">
              <w:r w:rsidR="008D02E1">
                <w:rPr>
                  <w:rStyle w:val="Hyperlink"/>
                </w:rPr>
                <w:t>https://ahc.leeds.ac.uk/homepage/270/writing_back</w:t>
              </w:r>
            </w:hyperlink>
          </w:p>
          <w:p w14:paraId="3F72480C" w14:textId="77777777" w:rsidR="008D02E1" w:rsidRDefault="008D02E1" w:rsidP="008D02E1"/>
          <w:p w14:paraId="20601217" w14:textId="77777777" w:rsidR="008D02E1" w:rsidRDefault="00F50BC1" w:rsidP="008D02E1">
            <w:pPr>
              <w:rPr>
                <w:rStyle w:val="Hyperlink"/>
              </w:rPr>
            </w:pPr>
            <w:hyperlink r:id="rId34" w:history="1">
              <w:r w:rsidR="008D02E1">
                <w:rPr>
                  <w:rStyle w:val="Hyperlink"/>
                </w:rPr>
                <w:t>https://www.ingentaconnect.com/contentone/ioep/rfa/2019/00000003/00000001/art00006</w:t>
              </w:r>
            </w:hyperlink>
          </w:p>
          <w:p w14:paraId="2E91F4A3" w14:textId="1E42D40C" w:rsidR="008F5D32" w:rsidRDefault="008F5D32" w:rsidP="008D02E1">
            <w:pPr>
              <w:rPr>
                <w:rStyle w:val="Hyperlink"/>
              </w:rPr>
            </w:pPr>
          </w:p>
        </w:tc>
        <w:tc>
          <w:tcPr>
            <w:tcW w:w="1681" w:type="dxa"/>
          </w:tcPr>
          <w:p w14:paraId="3062E73C" w14:textId="04CD821E" w:rsidR="008D02E1" w:rsidRDefault="008D02E1" w:rsidP="008D02E1">
            <w:r>
              <w:t>Socially distanced engagement</w:t>
            </w:r>
          </w:p>
        </w:tc>
      </w:tr>
      <w:tr w:rsidR="008D02E1" w14:paraId="0BF4683E" w14:textId="77777777" w:rsidTr="0058088C">
        <w:tc>
          <w:tcPr>
            <w:tcW w:w="1693" w:type="dxa"/>
          </w:tcPr>
          <w:p w14:paraId="1A439250" w14:textId="5B055D63" w:rsidR="008D02E1" w:rsidRDefault="008D02E1" w:rsidP="008D02E1">
            <w:r>
              <w:t>Museum Lates</w:t>
            </w:r>
          </w:p>
        </w:tc>
        <w:tc>
          <w:tcPr>
            <w:tcW w:w="5106" w:type="dxa"/>
          </w:tcPr>
          <w:p w14:paraId="2D50C94D" w14:textId="77DC8A69" w:rsidR="008D02E1" w:rsidRPr="00016F17" w:rsidRDefault="008D02E1" w:rsidP="008D02E1">
            <w:r>
              <w:t>The Natural History Museum has transplanted its Museum Lates series onto a digital platform.</w:t>
            </w:r>
          </w:p>
        </w:tc>
        <w:tc>
          <w:tcPr>
            <w:tcW w:w="5468" w:type="dxa"/>
          </w:tcPr>
          <w:p w14:paraId="0F475855" w14:textId="62B6CA1D" w:rsidR="008D02E1" w:rsidRDefault="00F50BC1" w:rsidP="008D02E1">
            <w:pPr>
              <w:rPr>
                <w:rStyle w:val="Hyperlink"/>
              </w:rPr>
            </w:pPr>
            <w:hyperlink r:id="rId35" w:history="1">
              <w:r w:rsidR="008D02E1">
                <w:rPr>
                  <w:rStyle w:val="Hyperlink"/>
                </w:rPr>
                <w:t>https://www.nhm.ac.uk/events/lates.html</w:t>
              </w:r>
            </w:hyperlink>
          </w:p>
        </w:tc>
        <w:tc>
          <w:tcPr>
            <w:tcW w:w="1681" w:type="dxa"/>
          </w:tcPr>
          <w:p w14:paraId="1974B100" w14:textId="77777777" w:rsidR="008D02E1" w:rsidRDefault="008D02E1" w:rsidP="008D02E1">
            <w:r>
              <w:t>Digital engagement</w:t>
            </w:r>
          </w:p>
          <w:p w14:paraId="2CB70725" w14:textId="77777777" w:rsidR="008D02E1" w:rsidRDefault="008D02E1" w:rsidP="008D02E1"/>
          <w:p w14:paraId="3F1461B0" w14:textId="0499EE7C" w:rsidR="008D02E1" w:rsidRDefault="008D02E1" w:rsidP="008D02E1">
            <w:r>
              <w:t>Adapting existing PE</w:t>
            </w:r>
          </w:p>
        </w:tc>
      </w:tr>
      <w:tr w:rsidR="008D02E1" w14:paraId="0C1C1DEF" w14:textId="77777777" w:rsidTr="0058088C">
        <w:tc>
          <w:tcPr>
            <w:tcW w:w="1693" w:type="dxa"/>
          </w:tcPr>
          <w:p w14:paraId="18876933" w14:textId="13DACB05" w:rsidR="008D02E1" w:rsidRDefault="008D02E1" w:rsidP="008D02E1">
            <w:r>
              <w:t>Southampton Science and Engineering Festival</w:t>
            </w:r>
          </w:p>
        </w:tc>
        <w:tc>
          <w:tcPr>
            <w:tcW w:w="5106" w:type="dxa"/>
          </w:tcPr>
          <w:p w14:paraId="4255EE3E" w14:textId="77777777" w:rsidR="008D02E1" w:rsidRDefault="008D02E1" w:rsidP="008D02E1">
            <w:r>
              <w:t>The University of Southampton’s Science and Engineering Festival has moved its annual festival online for 2020. Follow their webpage to see how the programme unfolds and examples of digital engagement.</w:t>
            </w:r>
          </w:p>
          <w:p w14:paraId="1DDB7A88" w14:textId="3ACD2C07" w:rsidR="008D02E1" w:rsidRDefault="008D02E1" w:rsidP="008D02E1"/>
        </w:tc>
        <w:tc>
          <w:tcPr>
            <w:tcW w:w="5468" w:type="dxa"/>
          </w:tcPr>
          <w:p w14:paraId="07F8854E" w14:textId="0620053F" w:rsidR="008D02E1" w:rsidRDefault="00F50BC1" w:rsidP="008D02E1">
            <w:hyperlink r:id="rId36" w:history="1">
              <w:r w:rsidR="008D02E1">
                <w:rPr>
                  <w:rStyle w:val="Hyperlink"/>
                </w:rPr>
                <w:t>https://www.sotsef.co.uk/</w:t>
              </w:r>
            </w:hyperlink>
          </w:p>
        </w:tc>
        <w:tc>
          <w:tcPr>
            <w:tcW w:w="1681" w:type="dxa"/>
          </w:tcPr>
          <w:p w14:paraId="6A73FF39" w14:textId="77777777" w:rsidR="008D02E1" w:rsidRDefault="008D02E1" w:rsidP="008D02E1">
            <w:r>
              <w:t>Digital engagement</w:t>
            </w:r>
          </w:p>
          <w:p w14:paraId="7F131BD9" w14:textId="77777777" w:rsidR="008D02E1" w:rsidRDefault="008D02E1" w:rsidP="008D02E1"/>
          <w:p w14:paraId="641EC944" w14:textId="1B20547D" w:rsidR="008D02E1" w:rsidRDefault="008D02E1" w:rsidP="008D02E1">
            <w:r>
              <w:t>Adapting existing PE</w:t>
            </w:r>
          </w:p>
        </w:tc>
      </w:tr>
    </w:tbl>
    <w:p w14:paraId="3D10B7E7" w14:textId="75A18827" w:rsidR="0058088C" w:rsidRDefault="0058088C"/>
    <w:p w14:paraId="3BA1B743" w14:textId="77777777" w:rsidR="00237242" w:rsidRDefault="00237242"/>
    <w:sectPr w:rsidR="00237242" w:rsidSect="009B44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32"/>
    <w:rsid w:val="00006336"/>
    <w:rsid w:val="000109A9"/>
    <w:rsid w:val="00016F17"/>
    <w:rsid w:val="000668C4"/>
    <w:rsid w:val="001843C4"/>
    <w:rsid w:val="00237242"/>
    <w:rsid w:val="002C23BC"/>
    <w:rsid w:val="002D0AEA"/>
    <w:rsid w:val="00374D93"/>
    <w:rsid w:val="00390264"/>
    <w:rsid w:val="00437C98"/>
    <w:rsid w:val="0048147B"/>
    <w:rsid w:val="004A4302"/>
    <w:rsid w:val="004B1453"/>
    <w:rsid w:val="00545E80"/>
    <w:rsid w:val="00546EDE"/>
    <w:rsid w:val="00552C81"/>
    <w:rsid w:val="00575FC4"/>
    <w:rsid w:val="0058088C"/>
    <w:rsid w:val="005E78D8"/>
    <w:rsid w:val="00627C6A"/>
    <w:rsid w:val="0067184C"/>
    <w:rsid w:val="00682998"/>
    <w:rsid w:val="00712090"/>
    <w:rsid w:val="008D02E1"/>
    <w:rsid w:val="008F5D32"/>
    <w:rsid w:val="00902436"/>
    <w:rsid w:val="009752B4"/>
    <w:rsid w:val="009B4432"/>
    <w:rsid w:val="00A366EE"/>
    <w:rsid w:val="00B42790"/>
    <w:rsid w:val="00B95249"/>
    <w:rsid w:val="00BD757C"/>
    <w:rsid w:val="00BF7F37"/>
    <w:rsid w:val="00C03132"/>
    <w:rsid w:val="00CE2929"/>
    <w:rsid w:val="00D032FD"/>
    <w:rsid w:val="00F50BC1"/>
    <w:rsid w:val="00F60C49"/>
    <w:rsid w:val="00F8539F"/>
    <w:rsid w:val="00FD22BB"/>
    <w:rsid w:val="00FF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4410"/>
  <w15:chartTrackingRefBased/>
  <w15:docId w15:val="{9BA62450-90D5-4A73-B7F1-6423F94B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2090"/>
    <w:rPr>
      <w:color w:val="0563C1" w:themeColor="hyperlink"/>
      <w:u w:val="single"/>
    </w:rPr>
  </w:style>
  <w:style w:type="character" w:customStyle="1" w:styleId="UnresolvedMention">
    <w:name w:val="Unresolved Mention"/>
    <w:basedOn w:val="DefaultParagraphFont"/>
    <w:uiPriority w:val="99"/>
    <w:semiHidden/>
    <w:unhideWhenUsed/>
    <w:rsid w:val="00712090"/>
    <w:rPr>
      <w:color w:val="605E5C"/>
      <w:shd w:val="clear" w:color="auto" w:fill="E1DFDD"/>
    </w:rPr>
  </w:style>
  <w:style w:type="paragraph" w:styleId="BalloonText">
    <w:name w:val="Balloon Text"/>
    <w:basedOn w:val="Normal"/>
    <w:link w:val="BalloonTextChar"/>
    <w:uiPriority w:val="99"/>
    <w:semiHidden/>
    <w:unhideWhenUsed/>
    <w:rsid w:val="00BF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62897">
      <w:bodyDiv w:val="1"/>
      <w:marLeft w:val="0"/>
      <w:marRight w:val="0"/>
      <w:marTop w:val="0"/>
      <w:marBottom w:val="0"/>
      <w:divBdr>
        <w:top w:val="none" w:sz="0" w:space="0" w:color="auto"/>
        <w:left w:val="none" w:sz="0" w:space="0" w:color="auto"/>
        <w:bottom w:val="none" w:sz="0" w:space="0" w:color="auto"/>
        <w:right w:val="none" w:sz="0" w:space="0" w:color="auto"/>
      </w:divBdr>
    </w:div>
    <w:div w:id="362563619">
      <w:bodyDiv w:val="1"/>
      <w:marLeft w:val="0"/>
      <w:marRight w:val="0"/>
      <w:marTop w:val="0"/>
      <w:marBottom w:val="0"/>
      <w:divBdr>
        <w:top w:val="none" w:sz="0" w:space="0" w:color="auto"/>
        <w:left w:val="none" w:sz="0" w:space="0" w:color="auto"/>
        <w:bottom w:val="none" w:sz="0" w:space="0" w:color="auto"/>
        <w:right w:val="none" w:sz="0" w:space="0" w:color="auto"/>
      </w:divBdr>
      <w:divsChild>
        <w:div w:id="2068064306">
          <w:marLeft w:val="0"/>
          <w:marRight w:val="-16178"/>
          <w:marTop w:val="0"/>
          <w:marBottom w:val="0"/>
          <w:divBdr>
            <w:top w:val="none" w:sz="0" w:space="0" w:color="auto"/>
            <w:left w:val="none" w:sz="0" w:space="0" w:color="auto"/>
            <w:bottom w:val="none" w:sz="0" w:space="0" w:color="auto"/>
            <w:right w:val="none" w:sz="0" w:space="0" w:color="auto"/>
          </w:divBdr>
        </w:div>
      </w:divsChild>
    </w:div>
    <w:div w:id="554120339">
      <w:bodyDiv w:val="1"/>
      <w:marLeft w:val="0"/>
      <w:marRight w:val="0"/>
      <w:marTop w:val="0"/>
      <w:marBottom w:val="0"/>
      <w:divBdr>
        <w:top w:val="none" w:sz="0" w:space="0" w:color="auto"/>
        <w:left w:val="none" w:sz="0" w:space="0" w:color="auto"/>
        <w:bottom w:val="none" w:sz="0" w:space="0" w:color="auto"/>
        <w:right w:val="none" w:sz="0" w:space="0" w:color="auto"/>
      </w:divBdr>
    </w:div>
    <w:div w:id="718021120">
      <w:bodyDiv w:val="1"/>
      <w:marLeft w:val="0"/>
      <w:marRight w:val="0"/>
      <w:marTop w:val="0"/>
      <w:marBottom w:val="0"/>
      <w:divBdr>
        <w:top w:val="none" w:sz="0" w:space="0" w:color="auto"/>
        <w:left w:val="none" w:sz="0" w:space="0" w:color="auto"/>
        <w:bottom w:val="none" w:sz="0" w:space="0" w:color="auto"/>
        <w:right w:val="none" w:sz="0" w:space="0" w:color="auto"/>
      </w:divBdr>
    </w:div>
    <w:div w:id="1113749682">
      <w:bodyDiv w:val="1"/>
      <w:marLeft w:val="0"/>
      <w:marRight w:val="0"/>
      <w:marTop w:val="0"/>
      <w:marBottom w:val="0"/>
      <w:divBdr>
        <w:top w:val="none" w:sz="0" w:space="0" w:color="auto"/>
        <w:left w:val="none" w:sz="0" w:space="0" w:color="auto"/>
        <w:bottom w:val="none" w:sz="0" w:space="0" w:color="auto"/>
        <w:right w:val="none" w:sz="0" w:space="0" w:color="auto"/>
      </w:divBdr>
    </w:div>
    <w:div w:id="1456681542">
      <w:bodyDiv w:val="1"/>
      <w:marLeft w:val="0"/>
      <w:marRight w:val="0"/>
      <w:marTop w:val="0"/>
      <w:marBottom w:val="0"/>
      <w:divBdr>
        <w:top w:val="none" w:sz="0" w:space="0" w:color="auto"/>
        <w:left w:val="none" w:sz="0" w:space="0" w:color="auto"/>
        <w:bottom w:val="none" w:sz="0" w:space="0" w:color="auto"/>
        <w:right w:val="none" w:sz="0" w:space="0" w:color="auto"/>
      </w:divBdr>
    </w:div>
    <w:div w:id="1482580579">
      <w:bodyDiv w:val="1"/>
      <w:marLeft w:val="0"/>
      <w:marRight w:val="0"/>
      <w:marTop w:val="0"/>
      <w:marBottom w:val="0"/>
      <w:divBdr>
        <w:top w:val="none" w:sz="0" w:space="0" w:color="auto"/>
        <w:left w:val="none" w:sz="0" w:space="0" w:color="auto"/>
        <w:bottom w:val="none" w:sz="0" w:space="0" w:color="auto"/>
        <w:right w:val="none" w:sz="0" w:space="0" w:color="auto"/>
      </w:divBdr>
    </w:div>
    <w:div w:id="1531604622">
      <w:bodyDiv w:val="1"/>
      <w:marLeft w:val="0"/>
      <w:marRight w:val="0"/>
      <w:marTop w:val="0"/>
      <w:marBottom w:val="0"/>
      <w:divBdr>
        <w:top w:val="none" w:sz="0" w:space="0" w:color="auto"/>
        <w:left w:val="none" w:sz="0" w:space="0" w:color="auto"/>
        <w:bottom w:val="none" w:sz="0" w:space="0" w:color="auto"/>
        <w:right w:val="none" w:sz="0" w:space="0" w:color="auto"/>
      </w:divBdr>
    </w:div>
    <w:div w:id="1659386778">
      <w:bodyDiv w:val="1"/>
      <w:marLeft w:val="0"/>
      <w:marRight w:val="0"/>
      <w:marTop w:val="0"/>
      <w:marBottom w:val="0"/>
      <w:divBdr>
        <w:top w:val="none" w:sz="0" w:space="0" w:color="auto"/>
        <w:left w:val="none" w:sz="0" w:space="0" w:color="auto"/>
        <w:bottom w:val="none" w:sz="0" w:space="0" w:color="auto"/>
        <w:right w:val="none" w:sz="0" w:space="0" w:color="auto"/>
      </w:divBdr>
    </w:div>
    <w:div w:id="1691369225">
      <w:bodyDiv w:val="1"/>
      <w:marLeft w:val="0"/>
      <w:marRight w:val="0"/>
      <w:marTop w:val="0"/>
      <w:marBottom w:val="0"/>
      <w:divBdr>
        <w:top w:val="none" w:sz="0" w:space="0" w:color="auto"/>
        <w:left w:val="none" w:sz="0" w:space="0" w:color="auto"/>
        <w:bottom w:val="none" w:sz="0" w:space="0" w:color="auto"/>
        <w:right w:val="none" w:sz="0" w:space="0" w:color="auto"/>
      </w:divBdr>
    </w:div>
    <w:div w:id="1905799329">
      <w:bodyDiv w:val="1"/>
      <w:marLeft w:val="0"/>
      <w:marRight w:val="0"/>
      <w:marTop w:val="0"/>
      <w:marBottom w:val="0"/>
      <w:divBdr>
        <w:top w:val="none" w:sz="0" w:space="0" w:color="auto"/>
        <w:left w:val="none" w:sz="0" w:space="0" w:color="auto"/>
        <w:bottom w:val="none" w:sz="0" w:space="0" w:color="auto"/>
        <w:right w:val="none" w:sz="0" w:space="0" w:color="auto"/>
      </w:divBdr>
    </w:div>
    <w:div w:id="2030328851">
      <w:bodyDiv w:val="1"/>
      <w:marLeft w:val="0"/>
      <w:marRight w:val="0"/>
      <w:marTop w:val="0"/>
      <w:marBottom w:val="0"/>
      <w:divBdr>
        <w:top w:val="none" w:sz="0" w:space="0" w:color="auto"/>
        <w:left w:val="none" w:sz="0" w:space="0" w:color="auto"/>
        <w:bottom w:val="none" w:sz="0" w:space="0" w:color="auto"/>
        <w:right w:val="none" w:sz="0" w:space="0" w:color="auto"/>
      </w:divBdr>
    </w:div>
    <w:div w:id="2088919965">
      <w:bodyDiv w:val="1"/>
      <w:marLeft w:val="0"/>
      <w:marRight w:val="0"/>
      <w:marTop w:val="0"/>
      <w:marBottom w:val="0"/>
      <w:divBdr>
        <w:top w:val="none" w:sz="0" w:space="0" w:color="auto"/>
        <w:left w:val="none" w:sz="0" w:space="0" w:color="auto"/>
        <w:bottom w:val="none" w:sz="0" w:space="0" w:color="auto"/>
        <w:right w:val="none" w:sz="0" w:space="0" w:color="auto"/>
      </w:divBdr>
    </w:div>
    <w:div w:id="21339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exeter.ac.uk" TargetMode="External"/><Relationship Id="rId13" Type="http://schemas.openxmlformats.org/officeDocument/2006/relationships/hyperlink" Target="https://blogs.ucl.ac.uk/public-engagement/2020/03/25/distanced-engagement/" TargetMode="External"/><Relationship Id="rId18" Type="http://schemas.openxmlformats.org/officeDocument/2006/relationships/hyperlink" Target="https://coronavirustechhandbook.com/" TargetMode="External"/><Relationship Id="rId26" Type="http://schemas.openxmlformats.org/officeDocument/2006/relationships/hyperlink" Target="https://www.cscce.org/resources/online-communities-and-communication-tools/" TargetMode="External"/><Relationship Id="rId3" Type="http://schemas.openxmlformats.org/officeDocument/2006/relationships/customXml" Target="../customXml/item3.xml"/><Relationship Id="rId21" Type="http://schemas.openxmlformats.org/officeDocument/2006/relationships/hyperlink" Target="https://www.publicengagement.ac.uk/meaningful-engagement-online-events" TargetMode="External"/><Relationship Id="rId34" Type="http://schemas.openxmlformats.org/officeDocument/2006/relationships/hyperlink" Target="https://www.ingentaconnect.com/contentone/ioep/rfa/2019/00000003/00000001/art00006" TargetMode="External"/><Relationship Id="rId7" Type="http://schemas.openxmlformats.org/officeDocument/2006/relationships/hyperlink" Target="https://www.gov.uk/government/publications/staying-alert-and-safe-social-distancing/staying-alert-and-safe-social-distancing" TargetMode="External"/><Relationship Id="rId12" Type="http://schemas.openxmlformats.org/officeDocument/2006/relationships/hyperlink" Target="https://blogs.ucl.ac.uk/public-engagement/2020/06/21/learning-from-our-virtual-co-creation-accessibility-and-adaptability/" TargetMode="External"/><Relationship Id="rId17" Type="http://schemas.openxmlformats.org/officeDocument/2006/relationships/hyperlink" Target="https://www.theculturecapitalexchange.co.uk/2020/06/02/knowledge-sharing-and-exchange-in-a-pandemic/" TargetMode="External"/><Relationship Id="rId25" Type="http://schemas.openxmlformats.org/officeDocument/2006/relationships/hyperlink" Target="https://eur03.safelinks.protection.outlook.com/?url=https%3A%2F%2Fvimeo.com%2F434362613%2Fa1f9b2a045&amp;data=02%7C01%7Cgrace.williams%40exeter.ac.uk%7C1a765b12ff23443ff28908d829765361%7C912a5d77fb984eeeaf321334d8f04a53%7C0%7C0%7C637304935464527615&amp;sdata=4ZvStmKuhKvJUY8RFxAT7BEGpqLUG%2FHIrV8oy20u%2FFs%3D&amp;reserved=0" TargetMode="External"/><Relationship Id="rId33" Type="http://schemas.openxmlformats.org/officeDocument/2006/relationships/hyperlink" Target="https://ahc.leeds.ac.uk/homepage/270/writing_bac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xeter.ac.uk/departments/communication/communications/events/toolkit/online-events/" TargetMode="External"/><Relationship Id="rId20" Type="http://schemas.openxmlformats.org/officeDocument/2006/relationships/hyperlink" Target="https://arc-w.nihr.ac.uk/publications/a-map-of-resources-for-co-producing-research-in-health-and-social-care/" TargetMode="External"/><Relationship Id="rId29" Type="http://schemas.openxmlformats.org/officeDocument/2006/relationships/hyperlink" Target="https://jamboard.goog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mul.ac.uk/publicengagement/blog/2020-blog-posts/items/cpexplores-should-we-be-taking-our-engagement-projects-online.html" TargetMode="External"/><Relationship Id="rId24" Type="http://schemas.openxmlformats.org/officeDocument/2006/relationships/hyperlink" Target="http://blogs.bath.ac.uk/publicengagement/2020/04/23/guide-to-online-engagement/" TargetMode="External"/><Relationship Id="rId32" Type="http://schemas.openxmlformats.org/officeDocument/2006/relationships/hyperlink" Target="https://www.publicengagement.ac.uk/do-engagement/inspire-me/case-studies/writing-bac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google.com/document/d/17XeCN3VWEPb-R9ixlNgWu_vPfYP35btpCUJHkwNb_Pc/edit" TargetMode="External"/><Relationship Id="rId23" Type="http://schemas.openxmlformats.org/officeDocument/2006/relationships/hyperlink" Target="https://www.nihr.ac.uk/documents/shared-nihr-commitments-to-public-involvement-participation-and-engagement-during-the-covid-19-pandemic/24640" TargetMode="External"/><Relationship Id="rId28" Type="http://schemas.openxmlformats.org/officeDocument/2006/relationships/hyperlink" Target="https://www.sessionlab.com/blog/online-tools-for-workshops/" TargetMode="External"/><Relationship Id="rId36" Type="http://schemas.openxmlformats.org/officeDocument/2006/relationships/hyperlink" Target="https://www.sotsef.co.uk/" TargetMode="External"/><Relationship Id="rId10" Type="http://schemas.openxmlformats.org/officeDocument/2006/relationships/hyperlink" Target="https://wonkhe.com/blogs/communicating-research-during-covid-19/" TargetMode="External"/><Relationship Id="rId19" Type="http://schemas.openxmlformats.org/officeDocument/2006/relationships/hyperlink" Target="http://www.bris.ac.uk/blackwell/public-engagement/update-during-coronavirus/making-connections/" TargetMode="External"/><Relationship Id="rId31" Type="http://schemas.openxmlformats.org/officeDocument/2006/relationships/hyperlink" Target="https://twitter.com/DannaStaaf/status/1255882864144470017" TargetMode="External"/><Relationship Id="rId4" Type="http://schemas.openxmlformats.org/officeDocument/2006/relationships/styles" Target="styles.xml"/><Relationship Id="rId9" Type="http://schemas.openxmlformats.org/officeDocument/2006/relationships/hyperlink" Target="https://www.publicengagement.ac.uk/whats-new/blog/hyperlocal-engagement-during-time-lockdown" TargetMode="External"/><Relationship Id="rId14" Type="http://schemas.openxmlformats.org/officeDocument/2006/relationships/hyperlink" Target="https://www.involve.org.uk/resources/blog/opinion/digital-tools-participation-where-start" TargetMode="External"/><Relationship Id="rId22" Type="http://schemas.openxmlformats.org/officeDocument/2006/relationships/hyperlink" Target="https://www.rds-sc.nihr.ac.uk/ppi-information-resources/ppi-covid19/" TargetMode="External"/><Relationship Id="rId27" Type="http://schemas.openxmlformats.org/officeDocument/2006/relationships/hyperlink" Target="https://blogs.ucl.ac.uk/public-engagement/2020/05/06/carry-on-co-producing-part2/" TargetMode="External"/><Relationship Id="rId30" Type="http://schemas.openxmlformats.org/officeDocument/2006/relationships/hyperlink" Target="https://www.mural.co/" TargetMode="External"/><Relationship Id="rId35" Type="http://schemas.openxmlformats.org/officeDocument/2006/relationships/hyperlink" Target="https://www.nhm.ac.uk/events/l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DC7C23BB5CB41B944355ACB1100D1" ma:contentTypeVersion="13" ma:contentTypeDescription="Create a new document." ma:contentTypeScope="" ma:versionID="e79be2db8ce3112ec570beb0bb032821">
  <xsd:schema xmlns:xsd="http://www.w3.org/2001/XMLSchema" xmlns:xs="http://www.w3.org/2001/XMLSchema" xmlns:p="http://schemas.microsoft.com/office/2006/metadata/properties" xmlns:ns3="c35f5a0d-22f9-4063-af47-d210f95398a3" xmlns:ns4="703dda01-68e9-4195-b499-76f4fc3cc8ff" targetNamespace="http://schemas.microsoft.com/office/2006/metadata/properties" ma:root="true" ma:fieldsID="f77bbf46672b9f633822aab886c160b5" ns3:_="" ns4:_="">
    <xsd:import namespace="c35f5a0d-22f9-4063-af47-d210f95398a3"/>
    <xsd:import namespace="703dda01-68e9-4195-b499-76f4fc3cc8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5a0d-22f9-4063-af47-d210f9539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dda01-68e9-4195-b499-76f4fc3cc8f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FE6A9-B0C4-4DC2-886F-BA98C0403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f5a0d-22f9-4063-af47-d210f95398a3"/>
    <ds:schemaRef ds:uri="703dda01-68e9-4195-b499-76f4fc3cc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B49D3-1518-476A-9920-D31AC99D3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C390E-2D6A-46A3-834F-8CCF74024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Grace</dc:creator>
  <cp:keywords/>
  <dc:description/>
  <cp:lastModifiedBy>Bennett, Cameron</cp:lastModifiedBy>
  <cp:revision>2</cp:revision>
  <cp:lastPrinted>2020-07-07T14:47:00Z</cp:lastPrinted>
  <dcterms:created xsi:type="dcterms:W3CDTF">2020-07-16T13:17:00Z</dcterms:created>
  <dcterms:modified xsi:type="dcterms:W3CDTF">2020-07-16T13:17:00Z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0x010100584DC7C23BB5CB41B944355ACB1100D1</vt:lpwstr>
  </property>
</Properties>
</file>